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C7A17">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C04D6A">
        <w:rPr>
          <w:rFonts w:ascii="Palatino Linotype" w:hAnsi="Palatino Linotype" w:cs="Arial"/>
          <w:b/>
          <w:sz w:val="24"/>
          <w:szCs w:val="24"/>
        </w:rPr>
        <w:t>04594</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072966" w:rsidRDefault="00902248" w:rsidP="00EC7A17">
      <w:pPr>
        <w:spacing w:after="0" w:line="360" w:lineRule="auto"/>
        <w:jc w:val="both"/>
        <w:rPr>
          <w:rFonts w:ascii="Palatino Linotype" w:hAnsi="Palatino Linotype" w:cs="Arial"/>
          <w:sz w:val="24"/>
          <w:szCs w:val="24"/>
        </w:rPr>
      </w:pPr>
    </w:p>
    <w:p w:rsidR="0046491C" w:rsidRPr="00072966" w:rsidRDefault="0046491C" w:rsidP="00EC7A17">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3C7244" w:rsidRPr="00072966" w:rsidRDefault="003C7244" w:rsidP="00EC7A17">
      <w:pPr>
        <w:spacing w:after="0" w:line="360" w:lineRule="auto"/>
        <w:jc w:val="both"/>
        <w:rPr>
          <w:rFonts w:ascii="Palatino Linotype" w:hAnsi="Palatino Linotype" w:cs="Arial"/>
          <w:sz w:val="24"/>
          <w:szCs w:val="24"/>
        </w:rPr>
      </w:pPr>
    </w:p>
    <w:p w:rsidR="003C7244" w:rsidRDefault="0046491C" w:rsidP="00EC7A17">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Los órganos del Estado, tienen el deber que tienen dentro del margen de sus </w:t>
      </w:r>
      <w:proofErr w:type="gramStart"/>
      <w:r w:rsidRPr="00072966">
        <w:rPr>
          <w:rFonts w:ascii="Palatino Linotype" w:hAnsi="Palatino Linotype" w:cs="Arial"/>
          <w:sz w:val="24"/>
          <w:szCs w:val="24"/>
        </w:rPr>
        <w:t>atribuciones</w:t>
      </w:r>
      <w:proofErr w:type="gramEnd"/>
      <w:r w:rsidRPr="00072966">
        <w:rPr>
          <w:rFonts w:ascii="Palatino Linotype" w:hAnsi="Palatino Linotype" w:cs="Arial"/>
          <w:sz w:val="24"/>
          <w:szCs w:val="24"/>
        </w:rPr>
        <w:t>, de prevenir violaciones a los derechos fundamentales.</w:t>
      </w:r>
    </w:p>
    <w:p w:rsidR="003C7244" w:rsidRDefault="003C7244" w:rsidP="00EC7A17">
      <w:pPr>
        <w:spacing w:after="0" w:line="360" w:lineRule="auto"/>
        <w:jc w:val="both"/>
        <w:rPr>
          <w:rFonts w:ascii="Palatino Linotype" w:hAnsi="Palatino Linotype" w:cs="Arial"/>
          <w:sz w:val="24"/>
          <w:szCs w:val="24"/>
        </w:rPr>
      </w:pPr>
    </w:p>
    <w:p w:rsidR="009563C5" w:rsidRPr="00945204" w:rsidRDefault="009563C5" w:rsidP="00EC7A17">
      <w:pPr>
        <w:spacing w:after="0" w:line="360" w:lineRule="auto"/>
        <w:ind w:right="49"/>
        <w:jc w:val="both"/>
        <w:rPr>
          <w:rFonts w:ascii="Palatino Linotype" w:hAnsi="Palatino Linotype"/>
          <w:sz w:val="24"/>
          <w:szCs w:val="24"/>
        </w:rPr>
      </w:pPr>
      <w:r w:rsidRPr="00945204">
        <w:rPr>
          <w:rFonts w:ascii="Palatino Linotype" w:hAnsi="Palatino Linotype"/>
          <w:sz w:val="24"/>
          <w:szCs w:val="24"/>
        </w:rPr>
        <w:t xml:space="preserve">La fotografía en </w:t>
      </w:r>
      <w:r w:rsidR="00EC7A17">
        <w:rPr>
          <w:rFonts w:ascii="Palatino Linotype" w:hAnsi="Palatino Linotype"/>
          <w:sz w:val="24"/>
          <w:szCs w:val="24"/>
        </w:rPr>
        <w:t>una constancia académica que acredite un cierto grado profesional</w:t>
      </w:r>
      <w:r w:rsidRPr="00945204">
        <w:rPr>
          <w:rFonts w:ascii="Palatino Linotype" w:hAnsi="Palatino Linotype"/>
          <w:sz w:val="24"/>
          <w:szCs w:val="24"/>
        </w:rPr>
        <w:t xml:space="preserve">, es un requisito que debe reunir el interesado a quien se le expedirán y constituye un elemento indispensable de identidad de la persona a quien se le expide. </w:t>
      </w:r>
    </w:p>
    <w:p w:rsidR="009563C5" w:rsidRPr="00945204" w:rsidRDefault="009563C5" w:rsidP="00EC7A17">
      <w:pPr>
        <w:spacing w:after="0" w:line="360" w:lineRule="auto"/>
        <w:ind w:right="49"/>
        <w:jc w:val="both"/>
        <w:rPr>
          <w:rFonts w:ascii="Palatino Linotype" w:hAnsi="Palatino Linotype"/>
          <w:sz w:val="24"/>
          <w:szCs w:val="24"/>
        </w:rPr>
      </w:pPr>
    </w:p>
    <w:p w:rsidR="009563C5" w:rsidRPr="00945204" w:rsidRDefault="009563C5" w:rsidP="00EC7A17">
      <w:pPr>
        <w:spacing w:after="0" w:line="360" w:lineRule="auto"/>
        <w:ind w:right="49"/>
        <w:jc w:val="both"/>
        <w:rPr>
          <w:rFonts w:ascii="Palatino Linotype" w:hAnsi="Palatino Linotype"/>
          <w:sz w:val="24"/>
          <w:szCs w:val="24"/>
        </w:rPr>
      </w:pPr>
      <w:r w:rsidRPr="00945204">
        <w:rPr>
          <w:rFonts w:ascii="Palatino Linotype" w:hAnsi="Palatino Linotype"/>
          <w:sz w:val="24"/>
          <w:szCs w:val="24"/>
        </w:rPr>
        <w:t xml:space="preserve">Documentos como </w:t>
      </w:r>
      <w:r>
        <w:rPr>
          <w:rFonts w:ascii="Palatino Linotype" w:hAnsi="Palatino Linotype"/>
          <w:sz w:val="24"/>
          <w:szCs w:val="24"/>
        </w:rPr>
        <w:t xml:space="preserve">el </w:t>
      </w:r>
      <w:r w:rsidRPr="00945204">
        <w:rPr>
          <w:rFonts w:ascii="Palatino Linotype" w:hAnsi="Palatino Linotype"/>
          <w:sz w:val="24"/>
          <w:szCs w:val="24"/>
        </w:rPr>
        <w:t>título profesional</w:t>
      </w:r>
      <w:r w:rsidR="00EC7A17">
        <w:rPr>
          <w:rFonts w:ascii="Palatino Linotype" w:hAnsi="Palatino Linotype"/>
          <w:sz w:val="24"/>
          <w:szCs w:val="24"/>
        </w:rPr>
        <w:t>, certificado de estudios, entre otros,</w:t>
      </w:r>
      <w:r w:rsidRPr="00945204">
        <w:rPr>
          <w:rFonts w:ascii="Palatino Linotype" w:hAnsi="Palatino Linotype"/>
          <w:sz w:val="24"/>
          <w:szCs w:val="24"/>
        </w:rPr>
        <w:t xml:space="preserve"> en el ámbito laboral tiene efectos de patente para el ejercicio profesional y para su identidad en sus actividades profesionales. </w:t>
      </w:r>
    </w:p>
    <w:p w:rsidR="009563C5" w:rsidRPr="00945204" w:rsidRDefault="009563C5" w:rsidP="00EC7A17">
      <w:pPr>
        <w:spacing w:after="0" w:line="360" w:lineRule="auto"/>
        <w:ind w:right="49"/>
        <w:jc w:val="both"/>
        <w:rPr>
          <w:rFonts w:ascii="Palatino Linotype" w:hAnsi="Palatino Linotype"/>
          <w:sz w:val="24"/>
          <w:szCs w:val="24"/>
        </w:rPr>
      </w:pPr>
    </w:p>
    <w:p w:rsidR="009563C5" w:rsidRPr="00945204" w:rsidRDefault="009563C5" w:rsidP="00EC7A17">
      <w:pPr>
        <w:spacing w:after="0" w:line="360" w:lineRule="auto"/>
        <w:ind w:right="49"/>
        <w:jc w:val="both"/>
        <w:rPr>
          <w:rFonts w:ascii="Palatino Linotype" w:hAnsi="Palatino Linotype"/>
          <w:sz w:val="24"/>
          <w:szCs w:val="24"/>
        </w:rPr>
      </w:pPr>
      <w:r w:rsidRPr="00945204">
        <w:rPr>
          <w:rFonts w:ascii="Palatino Linotype" w:hAnsi="Palatino Linotype"/>
          <w:sz w:val="24"/>
          <w:szCs w:val="24"/>
        </w:rPr>
        <w:t>El acceder a la información relacionada con documentos que acredite la experiencia académica, de quien ocupe cargos en la administración pública</w:t>
      </w:r>
      <w:r>
        <w:rPr>
          <w:rFonts w:ascii="Palatino Linotype" w:hAnsi="Palatino Linotype"/>
          <w:sz w:val="24"/>
          <w:szCs w:val="24"/>
        </w:rPr>
        <w:t xml:space="preserve"> o de quien emita y/o ejecute actos de autoridad actos de autoridad</w:t>
      </w:r>
      <w:r w:rsidRPr="00945204">
        <w:rPr>
          <w:rFonts w:ascii="Palatino Linotype" w:hAnsi="Palatino Linotype"/>
          <w:sz w:val="24"/>
          <w:szCs w:val="24"/>
        </w:rPr>
        <w:t>, permitirá a la ciudadanía conocer con toda certeza si los servidores públicos asignados en los cargos cuenta con la idoneidad de desempeñ</w:t>
      </w:r>
      <w:r>
        <w:rPr>
          <w:rFonts w:ascii="Palatino Linotype" w:hAnsi="Palatino Linotype"/>
          <w:sz w:val="24"/>
          <w:szCs w:val="24"/>
        </w:rPr>
        <w:t xml:space="preserve">arlos así como la capacidad de </w:t>
      </w:r>
      <w:r w:rsidRPr="00945204">
        <w:rPr>
          <w:rFonts w:ascii="Palatino Linotype" w:hAnsi="Palatino Linotype"/>
          <w:sz w:val="24"/>
          <w:szCs w:val="24"/>
        </w:rPr>
        <w:t xml:space="preserve">desarrollar las actividades y atribuciones que se deriven de este. </w:t>
      </w:r>
    </w:p>
    <w:p w:rsidR="009563C5" w:rsidRPr="00945204" w:rsidRDefault="009563C5" w:rsidP="00EC7A17">
      <w:pPr>
        <w:spacing w:after="0" w:line="360" w:lineRule="auto"/>
        <w:ind w:right="49"/>
        <w:jc w:val="both"/>
        <w:rPr>
          <w:rFonts w:ascii="Palatino Linotype" w:hAnsi="Palatino Linotype"/>
          <w:sz w:val="24"/>
          <w:szCs w:val="24"/>
        </w:rPr>
      </w:pPr>
    </w:p>
    <w:p w:rsidR="009563C5" w:rsidRDefault="009563C5" w:rsidP="00EC7A17">
      <w:pPr>
        <w:spacing w:after="0" w:line="360" w:lineRule="auto"/>
        <w:ind w:right="49"/>
        <w:jc w:val="both"/>
        <w:rPr>
          <w:rFonts w:ascii="Palatino Linotype" w:hAnsi="Palatino Linotype"/>
          <w:sz w:val="24"/>
          <w:szCs w:val="24"/>
        </w:rPr>
      </w:pPr>
      <w:r w:rsidRPr="00945204">
        <w:rPr>
          <w:rFonts w:ascii="Palatino Linotype" w:hAnsi="Palatino Linotype"/>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9563C5" w:rsidRPr="00945204" w:rsidRDefault="009563C5" w:rsidP="00EC7A17">
      <w:pPr>
        <w:spacing w:after="0" w:line="360" w:lineRule="auto"/>
        <w:ind w:right="49"/>
        <w:jc w:val="both"/>
        <w:rPr>
          <w:rFonts w:ascii="Palatino Linotype" w:hAnsi="Palatino Linotype"/>
          <w:sz w:val="24"/>
          <w:szCs w:val="24"/>
        </w:rPr>
      </w:pPr>
    </w:p>
    <w:p w:rsidR="009563C5" w:rsidRDefault="009563C5" w:rsidP="00EC7A17">
      <w:pPr>
        <w:spacing w:after="0" w:line="360" w:lineRule="auto"/>
        <w:ind w:right="49"/>
        <w:jc w:val="both"/>
        <w:rPr>
          <w:rFonts w:ascii="Palatino Linotype" w:hAnsi="Palatino Linotype"/>
          <w:sz w:val="24"/>
          <w:szCs w:val="24"/>
        </w:rPr>
      </w:pPr>
      <w:r w:rsidRPr="00945204">
        <w:rPr>
          <w:rFonts w:ascii="Palatino Linotype" w:hAnsi="Palatino Linotype"/>
          <w:sz w:val="24"/>
          <w:szCs w:val="24"/>
        </w:rPr>
        <w:t>Para una co</w:t>
      </w:r>
      <w:r>
        <w:rPr>
          <w:rFonts w:ascii="Palatino Linotype" w:hAnsi="Palatino Linotype"/>
          <w:sz w:val="24"/>
          <w:szCs w:val="24"/>
        </w:rPr>
        <w:t xml:space="preserve">rrecta ponderación de derechos </w:t>
      </w:r>
      <w:r w:rsidRPr="00945204">
        <w:rPr>
          <w:rFonts w:ascii="Palatino Linotype" w:hAnsi="Palatino Linotype"/>
          <w:sz w:val="24"/>
          <w:szCs w:val="24"/>
        </w:rPr>
        <w:t xml:space="preserve">de ambos derechos, es necesario realizar el juicio de ponderación que se rige por la exigencia y observancia de tres momentos: el juicio de idoneidad, el juicio de necesidad y el juicio de estricta proporcionalidad. </w:t>
      </w:r>
    </w:p>
    <w:p w:rsidR="009563C5" w:rsidRDefault="007049E1" w:rsidP="00EC7A17">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134619</wp:posOffset>
                </wp:positionV>
                <wp:extent cx="5648325" cy="389572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648325" cy="3895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0C28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0.6pt" to="445.95pt,3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" strokecolor="#5b9bd5 [3204]" strokeweight="3pt">
                <v:stroke joinstyle="miter"/>
              </v:line>
            </w:pict>
          </mc:Fallback>
        </mc:AlternateContent>
      </w:r>
    </w:p>
    <w:p w:rsidR="009563C5" w:rsidRDefault="009563C5" w:rsidP="00EC7A17">
      <w:pPr>
        <w:spacing w:after="0" w:line="360" w:lineRule="auto"/>
        <w:jc w:val="both"/>
        <w:rPr>
          <w:rFonts w:ascii="Palatino Linotype" w:hAnsi="Palatino Linotype" w:cs="Arial"/>
          <w:sz w:val="24"/>
          <w:szCs w:val="24"/>
        </w:rPr>
      </w:pPr>
    </w:p>
    <w:p w:rsidR="009563C5" w:rsidRDefault="009563C5" w:rsidP="00EC7A17">
      <w:pPr>
        <w:spacing w:after="0" w:line="360" w:lineRule="auto"/>
        <w:jc w:val="both"/>
        <w:rPr>
          <w:rFonts w:ascii="Palatino Linotype" w:hAnsi="Palatino Linotype" w:cs="Arial"/>
          <w:sz w:val="24"/>
          <w:szCs w:val="24"/>
        </w:rPr>
      </w:pPr>
    </w:p>
    <w:p w:rsidR="009563C5" w:rsidRDefault="009563C5" w:rsidP="00EC7A17">
      <w:pPr>
        <w:spacing w:after="0" w:line="360" w:lineRule="auto"/>
        <w:jc w:val="both"/>
        <w:rPr>
          <w:rFonts w:ascii="Palatino Linotype" w:hAnsi="Palatino Linotype" w:cs="Arial"/>
          <w:sz w:val="24"/>
          <w:szCs w:val="24"/>
        </w:rPr>
      </w:pPr>
    </w:p>
    <w:p w:rsidR="009563C5" w:rsidRDefault="009563C5" w:rsidP="00EC7A17">
      <w:pPr>
        <w:spacing w:after="0" w:line="360" w:lineRule="auto"/>
        <w:jc w:val="both"/>
        <w:rPr>
          <w:rFonts w:ascii="Palatino Linotype" w:hAnsi="Palatino Linotype" w:cs="Arial"/>
          <w:sz w:val="24"/>
          <w:szCs w:val="24"/>
        </w:rPr>
      </w:pPr>
    </w:p>
    <w:p w:rsidR="009563C5" w:rsidRDefault="009563C5" w:rsidP="00EC7A17">
      <w:pPr>
        <w:spacing w:after="0" w:line="360" w:lineRule="auto"/>
        <w:jc w:val="both"/>
        <w:rPr>
          <w:rFonts w:ascii="Palatino Linotype" w:hAnsi="Palatino Linotype" w:cs="Arial"/>
          <w:sz w:val="24"/>
          <w:szCs w:val="24"/>
        </w:rPr>
      </w:pPr>
    </w:p>
    <w:p w:rsidR="009563C5" w:rsidRDefault="009563C5" w:rsidP="00EC7A17">
      <w:pPr>
        <w:spacing w:after="0" w:line="360" w:lineRule="auto"/>
        <w:jc w:val="both"/>
        <w:rPr>
          <w:rFonts w:ascii="Palatino Linotype" w:hAnsi="Palatino Linotype" w:cs="Arial"/>
          <w:sz w:val="24"/>
          <w:szCs w:val="24"/>
        </w:rPr>
      </w:pPr>
    </w:p>
    <w:p w:rsidR="009563C5" w:rsidRDefault="009563C5" w:rsidP="00EC7A17">
      <w:pPr>
        <w:spacing w:after="0" w:line="360" w:lineRule="auto"/>
        <w:jc w:val="both"/>
        <w:rPr>
          <w:rFonts w:ascii="Palatino Linotype" w:hAnsi="Palatino Linotype" w:cs="Arial"/>
          <w:sz w:val="24"/>
          <w:szCs w:val="24"/>
        </w:rPr>
      </w:pPr>
    </w:p>
    <w:p w:rsidR="009563C5" w:rsidRDefault="009563C5" w:rsidP="00EC7A17">
      <w:pPr>
        <w:spacing w:after="0" w:line="360" w:lineRule="auto"/>
        <w:jc w:val="both"/>
        <w:rPr>
          <w:rFonts w:ascii="Palatino Linotype" w:hAnsi="Palatino Linotype" w:cs="Arial"/>
          <w:sz w:val="24"/>
          <w:szCs w:val="24"/>
        </w:rPr>
      </w:pPr>
    </w:p>
    <w:p w:rsidR="009563C5" w:rsidRDefault="009563C5" w:rsidP="00EC7A17">
      <w:pPr>
        <w:spacing w:after="0" w:line="360" w:lineRule="auto"/>
        <w:jc w:val="both"/>
        <w:rPr>
          <w:rFonts w:ascii="Palatino Linotype" w:hAnsi="Palatino Linotype" w:cs="Arial"/>
          <w:sz w:val="24"/>
          <w:szCs w:val="24"/>
        </w:rPr>
      </w:pPr>
    </w:p>
    <w:p w:rsidR="009563C5" w:rsidRDefault="009563C5" w:rsidP="00EC7A17">
      <w:pPr>
        <w:spacing w:after="0" w:line="360" w:lineRule="auto"/>
        <w:jc w:val="both"/>
        <w:rPr>
          <w:rFonts w:ascii="Palatino Linotype" w:hAnsi="Palatino Linotype" w:cs="Arial"/>
          <w:sz w:val="24"/>
          <w:szCs w:val="24"/>
        </w:rPr>
      </w:pPr>
    </w:p>
    <w:p w:rsidR="0046491C" w:rsidRPr="003C7244" w:rsidRDefault="0046491C" w:rsidP="007049E1">
      <w:pPr>
        <w:spacing w:after="0" w:line="360" w:lineRule="auto"/>
        <w:jc w:val="center"/>
        <w:rPr>
          <w:rFonts w:ascii="Palatino Linotype" w:hAnsi="Palatino Linotype" w:cs="Arial"/>
          <w:sz w:val="28"/>
          <w:szCs w:val="24"/>
        </w:rPr>
      </w:pPr>
      <w:r w:rsidRPr="003C7244">
        <w:rPr>
          <w:rFonts w:ascii="Palatino Linotype" w:hAnsi="Palatino Linotype" w:cs="Arial"/>
          <w:b/>
          <w:sz w:val="28"/>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C7A17">
          <w:pPr>
            <w:pStyle w:val="TtulodeTDC"/>
            <w:spacing w:before="0" w:line="360" w:lineRule="auto"/>
            <w:rPr>
              <w:rFonts w:ascii="Palatino Linotype" w:hAnsi="Palatino Linotype"/>
            </w:rPr>
          </w:pPr>
        </w:p>
        <w:p w:rsidR="007049E1" w:rsidRDefault="0046491C">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2684302" w:history="1">
            <w:r w:rsidR="007049E1" w:rsidRPr="006F12F5">
              <w:rPr>
                <w:rStyle w:val="Hipervnculo"/>
                <w:rFonts w:ascii="Palatino Linotype" w:hAnsi="Palatino Linotype"/>
                <w:b/>
                <w:noProof/>
              </w:rPr>
              <w:t>I.</w:t>
            </w:r>
            <w:r w:rsidR="007049E1">
              <w:rPr>
                <w:rFonts w:eastAsiaTheme="minorEastAsia"/>
                <w:noProof/>
                <w:lang w:eastAsia="es-MX"/>
              </w:rPr>
              <w:tab/>
            </w:r>
            <w:r w:rsidR="007049E1" w:rsidRPr="006F12F5">
              <w:rPr>
                <w:rStyle w:val="Hipervnculo"/>
                <w:rFonts w:ascii="Palatino Linotype" w:hAnsi="Palatino Linotype"/>
                <w:b/>
                <w:noProof/>
              </w:rPr>
              <w:t>Consideraciones Generales.</w:t>
            </w:r>
            <w:r w:rsidR="007049E1">
              <w:rPr>
                <w:noProof/>
                <w:webHidden/>
              </w:rPr>
              <w:tab/>
            </w:r>
            <w:r w:rsidR="007049E1">
              <w:rPr>
                <w:noProof/>
                <w:webHidden/>
              </w:rPr>
              <w:fldChar w:fldCharType="begin"/>
            </w:r>
            <w:r w:rsidR="007049E1">
              <w:rPr>
                <w:noProof/>
                <w:webHidden/>
              </w:rPr>
              <w:instrText xml:space="preserve"> PAGEREF _Toc2684302 \h </w:instrText>
            </w:r>
            <w:r w:rsidR="007049E1">
              <w:rPr>
                <w:noProof/>
                <w:webHidden/>
              </w:rPr>
            </w:r>
            <w:r w:rsidR="007049E1">
              <w:rPr>
                <w:noProof/>
                <w:webHidden/>
              </w:rPr>
              <w:fldChar w:fldCharType="separate"/>
            </w:r>
            <w:r w:rsidR="00FA5DE2">
              <w:rPr>
                <w:noProof/>
                <w:webHidden/>
              </w:rPr>
              <w:t>3</w:t>
            </w:r>
            <w:r w:rsidR="007049E1">
              <w:rPr>
                <w:noProof/>
                <w:webHidden/>
              </w:rPr>
              <w:fldChar w:fldCharType="end"/>
            </w:r>
          </w:hyperlink>
        </w:p>
        <w:p w:rsidR="007049E1" w:rsidRDefault="005857F5">
          <w:pPr>
            <w:pStyle w:val="TDC1"/>
            <w:rPr>
              <w:rFonts w:eastAsiaTheme="minorEastAsia"/>
              <w:noProof/>
              <w:lang w:eastAsia="es-MX"/>
            </w:rPr>
          </w:pPr>
          <w:hyperlink w:anchor="_Toc2684303" w:history="1">
            <w:r w:rsidR="007049E1" w:rsidRPr="006F12F5">
              <w:rPr>
                <w:rStyle w:val="Hipervnculo"/>
                <w:rFonts w:ascii="Palatino Linotype" w:hAnsi="Palatino Linotype"/>
                <w:b/>
                <w:noProof/>
              </w:rPr>
              <w:t>II.</w:t>
            </w:r>
            <w:r w:rsidR="007049E1">
              <w:rPr>
                <w:rFonts w:eastAsiaTheme="minorEastAsia"/>
                <w:noProof/>
                <w:lang w:eastAsia="es-MX"/>
              </w:rPr>
              <w:tab/>
            </w:r>
            <w:r w:rsidR="007049E1" w:rsidRPr="006F12F5">
              <w:rPr>
                <w:rStyle w:val="Hipervnculo"/>
                <w:rFonts w:ascii="Palatino Linotype" w:hAnsi="Palatino Linotype"/>
                <w:b/>
                <w:noProof/>
              </w:rPr>
              <w:t>De los requerimientos planteados en el recurso de revisión.</w:t>
            </w:r>
            <w:r w:rsidR="007049E1">
              <w:rPr>
                <w:noProof/>
                <w:webHidden/>
              </w:rPr>
              <w:tab/>
            </w:r>
            <w:r w:rsidR="007049E1">
              <w:rPr>
                <w:noProof/>
                <w:webHidden/>
              </w:rPr>
              <w:fldChar w:fldCharType="begin"/>
            </w:r>
            <w:r w:rsidR="007049E1">
              <w:rPr>
                <w:noProof/>
                <w:webHidden/>
              </w:rPr>
              <w:instrText xml:space="preserve"> PAGEREF _Toc2684303 \h </w:instrText>
            </w:r>
            <w:r w:rsidR="007049E1">
              <w:rPr>
                <w:noProof/>
                <w:webHidden/>
              </w:rPr>
            </w:r>
            <w:r w:rsidR="007049E1">
              <w:rPr>
                <w:noProof/>
                <w:webHidden/>
              </w:rPr>
              <w:fldChar w:fldCharType="separate"/>
            </w:r>
            <w:r w:rsidR="00FA5DE2">
              <w:rPr>
                <w:noProof/>
                <w:webHidden/>
              </w:rPr>
              <w:t>5</w:t>
            </w:r>
            <w:r w:rsidR="007049E1">
              <w:rPr>
                <w:noProof/>
                <w:webHidden/>
              </w:rPr>
              <w:fldChar w:fldCharType="end"/>
            </w:r>
          </w:hyperlink>
        </w:p>
        <w:p w:rsidR="007049E1" w:rsidRDefault="005857F5">
          <w:pPr>
            <w:pStyle w:val="TDC1"/>
            <w:rPr>
              <w:rFonts w:eastAsiaTheme="minorEastAsia"/>
              <w:noProof/>
              <w:lang w:eastAsia="es-MX"/>
            </w:rPr>
          </w:pPr>
          <w:hyperlink w:anchor="_Toc2684304" w:history="1">
            <w:r w:rsidR="007049E1" w:rsidRPr="006F12F5">
              <w:rPr>
                <w:rStyle w:val="Hipervnculo"/>
                <w:rFonts w:ascii="Palatino Linotype" w:eastAsiaTheme="majorEastAsia" w:hAnsi="Palatino Linotype" w:cstheme="majorBidi"/>
                <w:b/>
                <w:noProof/>
              </w:rPr>
              <w:t>II. La naturaleza de la función pública que se desempeña</w:t>
            </w:r>
            <w:r w:rsidR="007049E1" w:rsidRPr="006F12F5">
              <w:rPr>
                <w:rStyle w:val="Hipervnculo"/>
                <w:rFonts w:ascii="Palatino Linotype" w:eastAsiaTheme="majorEastAsia" w:hAnsi="Palatino Linotype" w:cs="Arial"/>
                <w:b/>
                <w:noProof/>
              </w:rPr>
              <w:t>.</w:t>
            </w:r>
            <w:r w:rsidR="007049E1">
              <w:rPr>
                <w:noProof/>
                <w:webHidden/>
              </w:rPr>
              <w:tab/>
            </w:r>
            <w:r w:rsidR="007049E1">
              <w:rPr>
                <w:noProof/>
                <w:webHidden/>
              </w:rPr>
              <w:fldChar w:fldCharType="begin"/>
            </w:r>
            <w:r w:rsidR="007049E1">
              <w:rPr>
                <w:noProof/>
                <w:webHidden/>
              </w:rPr>
              <w:instrText xml:space="preserve"> PAGEREF _Toc2684304 \h </w:instrText>
            </w:r>
            <w:r w:rsidR="007049E1">
              <w:rPr>
                <w:noProof/>
                <w:webHidden/>
              </w:rPr>
            </w:r>
            <w:r w:rsidR="007049E1">
              <w:rPr>
                <w:noProof/>
                <w:webHidden/>
              </w:rPr>
              <w:fldChar w:fldCharType="separate"/>
            </w:r>
            <w:r w:rsidR="00FA5DE2">
              <w:rPr>
                <w:noProof/>
                <w:webHidden/>
              </w:rPr>
              <w:t>6</w:t>
            </w:r>
            <w:r w:rsidR="007049E1">
              <w:rPr>
                <w:noProof/>
                <w:webHidden/>
              </w:rPr>
              <w:fldChar w:fldCharType="end"/>
            </w:r>
          </w:hyperlink>
        </w:p>
        <w:p w:rsidR="007049E1" w:rsidRDefault="005857F5">
          <w:pPr>
            <w:pStyle w:val="TDC1"/>
            <w:rPr>
              <w:rFonts w:eastAsiaTheme="minorEastAsia"/>
              <w:noProof/>
              <w:lang w:eastAsia="es-MX"/>
            </w:rPr>
          </w:pPr>
          <w:hyperlink w:anchor="_Toc2684305" w:history="1">
            <w:r w:rsidR="007049E1" w:rsidRPr="006F12F5">
              <w:rPr>
                <w:rStyle w:val="Hipervnculo"/>
                <w:rFonts w:ascii="Palatino Linotype" w:eastAsiaTheme="majorEastAsia" w:hAnsi="Palatino Linotype" w:cstheme="majorBidi"/>
                <w:b/>
                <w:noProof/>
              </w:rPr>
              <w:t>III</w:t>
            </w:r>
            <w:r w:rsidR="007049E1" w:rsidRPr="006F12F5">
              <w:rPr>
                <w:rStyle w:val="Hipervnculo"/>
                <w:rFonts w:ascii="Palatino Linotype" w:hAnsi="Palatino Linotype"/>
                <w:b/>
                <w:noProof/>
              </w:rPr>
              <w:t>. Acceso a la información versus protección de datos personales</w:t>
            </w:r>
            <w:r w:rsidR="007049E1" w:rsidRPr="006F12F5">
              <w:rPr>
                <w:rStyle w:val="Hipervnculo"/>
                <w:rFonts w:ascii="Palatino Linotype" w:hAnsi="Palatino Linotype" w:cs="Arial"/>
                <w:b/>
                <w:noProof/>
              </w:rPr>
              <w:t>.</w:t>
            </w:r>
            <w:r w:rsidR="007049E1">
              <w:rPr>
                <w:noProof/>
                <w:webHidden/>
              </w:rPr>
              <w:tab/>
            </w:r>
            <w:r w:rsidR="007049E1">
              <w:rPr>
                <w:noProof/>
                <w:webHidden/>
              </w:rPr>
              <w:fldChar w:fldCharType="begin"/>
            </w:r>
            <w:r w:rsidR="007049E1">
              <w:rPr>
                <w:noProof/>
                <w:webHidden/>
              </w:rPr>
              <w:instrText xml:space="preserve"> PAGEREF _Toc2684305 \h </w:instrText>
            </w:r>
            <w:r w:rsidR="007049E1">
              <w:rPr>
                <w:noProof/>
                <w:webHidden/>
              </w:rPr>
            </w:r>
            <w:r w:rsidR="007049E1">
              <w:rPr>
                <w:noProof/>
                <w:webHidden/>
              </w:rPr>
              <w:fldChar w:fldCharType="separate"/>
            </w:r>
            <w:r w:rsidR="00FA5DE2">
              <w:rPr>
                <w:noProof/>
                <w:webHidden/>
              </w:rPr>
              <w:t>7</w:t>
            </w:r>
            <w:r w:rsidR="007049E1">
              <w:rPr>
                <w:noProof/>
                <w:webHidden/>
              </w:rPr>
              <w:fldChar w:fldCharType="end"/>
            </w:r>
          </w:hyperlink>
        </w:p>
        <w:p w:rsidR="007049E1" w:rsidRDefault="005857F5">
          <w:pPr>
            <w:pStyle w:val="TDC1"/>
            <w:rPr>
              <w:rFonts w:eastAsiaTheme="minorEastAsia"/>
              <w:noProof/>
              <w:lang w:eastAsia="es-MX"/>
            </w:rPr>
          </w:pPr>
          <w:hyperlink w:anchor="_Toc2684306" w:history="1">
            <w:r w:rsidR="007049E1" w:rsidRPr="006F12F5">
              <w:rPr>
                <w:rStyle w:val="Hipervnculo"/>
                <w:rFonts w:ascii="Palatino Linotype" w:eastAsiaTheme="majorEastAsia" w:hAnsi="Palatino Linotype" w:cstheme="majorBidi"/>
                <w:b/>
                <w:noProof/>
              </w:rPr>
              <w:t>a) Juicio de idoneidad.</w:t>
            </w:r>
            <w:r w:rsidR="007049E1">
              <w:rPr>
                <w:noProof/>
                <w:webHidden/>
              </w:rPr>
              <w:tab/>
            </w:r>
            <w:r w:rsidR="007049E1">
              <w:rPr>
                <w:noProof/>
                <w:webHidden/>
              </w:rPr>
              <w:fldChar w:fldCharType="begin"/>
            </w:r>
            <w:r w:rsidR="007049E1">
              <w:rPr>
                <w:noProof/>
                <w:webHidden/>
              </w:rPr>
              <w:instrText xml:space="preserve"> PAGEREF _Toc2684306 \h </w:instrText>
            </w:r>
            <w:r w:rsidR="007049E1">
              <w:rPr>
                <w:noProof/>
                <w:webHidden/>
              </w:rPr>
            </w:r>
            <w:r w:rsidR="007049E1">
              <w:rPr>
                <w:noProof/>
                <w:webHidden/>
              </w:rPr>
              <w:fldChar w:fldCharType="separate"/>
            </w:r>
            <w:r w:rsidR="00FA5DE2">
              <w:rPr>
                <w:noProof/>
                <w:webHidden/>
              </w:rPr>
              <w:t>9</w:t>
            </w:r>
            <w:r w:rsidR="007049E1">
              <w:rPr>
                <w:noProof/>
                <w:webHidden/>
              </w:rPr>
              <w:fldChar w:fldCharType="end"/>
            </w:r>
          </w:hyperlink>
        </w:p>
        <w:p w:rsidR="007049E1" w:rsidRDefault="005857F5">
          <w:pPr>
            <w:pStyle w:val="TDC1"/>
            <w:rPr>
              <w:rFonts w:eastAsiaTheme="minorEastAsia"/>
              <w:noProof/>
              <w:lang w:eastAsia="es-MX"/>
            </w:rPr>
          </w:pPr>
          <w:hyperlink w:anchor="_Toc2684307" w:history="1">
            <w:r w:rsidR="007049E1" w:rsidRPr="006F12F5">
              <w:rPr>
                <w:rStyle w:val="Hipervnculo"/>
                <w:rFonts w:ascii="Palatino Linotype" w:eastAsiaTheme="majorEastAsia" w:hAnsi="Palatino Linotype" w:cstheme="majorBidi"/>
                <w:b/>
                <w:noProof/>
              </w:rPr>
              <w:t>b)</w:t>
            </w:r>
            <w:r w:rsidR="007049E1">
              <w:rPr>
                <w:rFonts w:eastAsiaTheme="minorEastAsia"/>
                <w:noProof/>
                <w:lang w:eastAsia="es-MX"/>
              </w:rPr>
              <w:tab/>
            </w:r>
            <w:r w:rsidR="007049E1" w:rsidRPr="006F12F5">
              <w:rPr>
                <w:rStyle w:val="Hipervnculo"/>
                <w:rFonts w:ascii="Palatino Linotype" w:eastAsiaTheme="majorEastAsia" w:hAnsi="Palatino Linotype" w:cstheme="majorBidi"/>
                <w:b/>
                <w:noProof/>
              </w:rPr>
              <w:t>Juicio de Necesidad.</w:t>
            </w:r>
            <w:r w:rsidR="007049E1">
              <w:rPr>
                <w:noProof/>
                <w:webHidden/>
              </w:rPr>
              <w:tab/>
            </w:r>
            <w:r w:rsidR="007049E1">
              <w:rPr>
                <w:noProof/>
                <w:webHidden/>
              </w:rPr>
              <w:fldChar w:fldCharType="begin"/>
            </w:r>
            <w:r w:rsidR="007049E1">
              <w:rPr>
                <w:noProof/>
                <w:webHidden/>
              </w:rPr>
              <w:instrText xml:space="preserve"> PAGEREF _Toc2684307 \h </w:instrText>
            </w:r>
            <w:r w:rsidR="007049E1">
              <w:rPr>
                <w:noProof/>
                <w:webHidden/>
              </w:rPr>
            </w:r>
            <w:r w:rsidR="007049E1">
              <w:rPr>
                <w:noProof/>
                <w:webHidden/>
              </w:rPr>
              <w:fldChar w:fldCharType="separate"/>
            </w:r>
            <w:r w:rsidR="00FA5DE2">
              <w:rPr>
                <w:noProof/>
                <w:webHidden/>
              </w:rPr>
              <w:t>10</w:t>
            </w:r>
            <w:r w:rsidR="007049E1">
              <w:rPr>
                <w:noProof/>
                <w:webHidden/>
              </w:rPr>
              <w:fldChar w:fldCharType="end"/>
            </w:r>
          </w:hyperlink>
        </w:p>
        <w:p w:rsidR="007049E1" w:rsidRDefault="005857F5">
          <w:pPr>
            <w:pStyle w:val="TDC1"/>
            <w:rPr>
              <w:rFonts w:eastAsiaTheme="minorEastAsia"/>
              <w:noProof/>
              <w:lang w:eastAsia="es-MX"/>
            </w:rPr>
          </w:pPr>
          <w:hyperlink w:anchor="_Toc2684308" w:history="1">
            <w:r w:rsidR="007049E1" w:rsidRPr="006F12F5">
              <w:rPr>
                <w:rStyle w:val="Hipervnculo"/>
                <w:rFonts w:ascii="Palatino Linotype" w:eastAsiaTheme="majorEastAsia" w:hAnsi="Palatino Linotype" w:cstheme="majorBidi"/>
                <w:b/>
                <w:noProof/>
              </w:rPr>
              <w:t>c)</w:t>
            </w:r>
            <w:r w:rsidR="007049E1">
              <w:rPr>
                <w:rFonts w:eastAsiaTheme="minorEastAsia"/>
                <w:noProof/>
                <w:lang w:eastAsia="es-MX"/>
              </w:rPr>
              <w:tab/>
            </w:r>
            <w:r w:rsidR="007049E1" w:rsidRPr="006F12F5">
              <w:rPr>
                <w:rStyle w:val="Hipervnculo"/>
                <w:rFonts w:ascii="Palatino Linotype" w:eastAsiaTheme="majorEastAsia" w:hAnsi="Palatino Linotype" w:cstheme="majorBidi"/>
                <w:b/>
                <w:noProof/>
              </w:rPr>
              <w:t>Juicio de estricta proporcionalidad.</w:t>
            </w:r>
            <w:r w:rsidR="007049E1">
              <w:rPr>
                <w:noProof/>
                <w:webHidden/>
              </w:rPr>
              <w:tab/>
            </w:r>
            <w:r w:rsidR="007049E1">
              <w:rPr>
                <w:noProof/>
                <w:webHidden/>
              </w:rPr>
              <w:fldChar w:fldCharType="begin"/>
            </w:r>
            <w:r w:rsidR="007049E1">
              <w:rPr>
                <w:noProof/>
                <w:webHidden/>
              </w:rPr>
              <w:instrText xml:space="preserve"> PAGEREF _Toc2684308 \h </w:instrText>
            </w:r>
            <w:r w:rsidR="007049E1">
              <w:rPr>
                <w:noProof/>
                <w:webHidden/>
              </w:rPr>
            </w:r>
            <w:r w:rsidR="007049E1">
              <w:rPr>
                <w:noProof/>
                <w:webHidden/>
              </w:rPr>
              <w:fldChar w:fldCharType="separate"/>
            </w:r>
            <w:r w:rsidR="00FA5DE2">
              <w:rPr>
                <w:noProof/>
                <w:webHidden/>
              </w:rPr>
              <w:t>11</w:t>
            </w:r>
            <w:r w:rsidR="007049E1">
              <w:rPr>
                <w:noProof/>
                <w:webHidden/>
              </w:rPr>
              <w:fldChar w:fldCharType="end"/>
            </w:r>
          </w:hyperlink>
        </w:p>
        <w:p w:rsidR="007049E1" w:rsidRDefault="005857F5">
          <w:pPr>
            <w:pStyle w:val="TDC1"/>
            <w:rPr>
              <w:rFonts w:eastAsiaTheme="minorEastAsia"/>
              <w:noProof/>
              <w:lang w:eastAsia="es-MX"/>
            </w:rPr>
          </w:pPr>
          <w:hyperlink w:anchor="_Toc2684309" w:history="1">
            <w:r w:rsidR="007049E1" w:rsidRPr="006F12F5">
              <w:rPr>
                <w:rStyle w:val="Hipervnculo"/>
                <w:rFonts w:ascii="Palatino Linotype" w:eastAsiaTheme="majorEastAsia" w:hAnsi="Palatino Linotype" w:cstheme="majorBidi"/>
                <w:b/>
                <w:noProof/>
              </w:rPr>
              <w:t>IV. Restricciones legítimas al derecho a la privacidad.</w:t>
            </w:r>
            <w:r w:rsidR="007049E1">
              <w:rPr>
                <w:noProof/>
                <w:webHidden/>
              </w:rPr>
              <w:tab/>
            </w:r>
            <w:r w:rsidR="007049E1">
              <w:rPr>
                <w:noProof/>
                <w:webHidden/>
              </w:rPr>
              <w:fldChar w:fldCharType="begin"/>
            </w:r>
            <w:r w:rsidR="007049E1">
              <w:rPr>
                <w:noProof/>
                <w:webHidden/>
              </w:rPr>
              <w:instrText xml:space="preserve"> PAGEREF _Toc2684309 \h </w:instrText>
            </w:r>
            <w:r w:rsidR="007049E1">
              <w:rPr>
                <w:noProof/>
                <w:webHidden/>
              </w:rPr>
            </w:r>
            <w:r w:rsidR="007049E1">
              <w:rPr>
                <w:noProof/>
                <w:webHidden/>
              </w:rPr>
              <w:fldChar w:fldCharType="separate"/>
            </w:r>
            <w:r w:rsidR="00FA5DE2">
              <w:rPr>
                <w:noProof/>
                <w:webHidden/>
              </w:rPr>
              <w:t>13</w:t>
            </w:r>
            <w:r w:rsidR="007049E1">
              <w:rPr>
                <w:noProof/>
                <w:webHidden/>
              </w:rPr>
              <w:fldChar w:fldCharType="end"/>
            </w:r>
          </w:hyperlink>
        </w:p>
        <w:p w:rsidR="00072966" w:rsidRPr="003C7244" w:rsidRDefault="0046491C" w:rsidP="00EC7A17">
          <w:pPr>
            <w:spacing w:after="0" w:line="360" w:lineRule="auto"/>
            <w:rPr>
              <w:rFonts w:ascii="Palatino Linotype" w:hAnsi="Palatino Linotype"/>
            </w:rPr>
          </w:pPr>
          <w:r w:rsidRPr="00072966">
            <w:rPr>
              <w:rFonts w:ascii="Palatino Linotype" w:hAnsi="Palatino Linotype"/>
              <w:b/>
              <w:bCs/>
              <w:lang w:val="es-ES"/>
            </w:rPr>
            <w:fldChar w:fldCharType="end"/>
          </w:r>
        </w:p>
      </w:sdtContent>
    </w:sdt>
    <w:p w:rsidR="0046491C" w:rsidRPr="00072966" w:rsidRDefault="0046491C" w:rsidP="00EC7A17">
      <w:pPr>
        <w:pStyle w:val="Ttulo1"/>
        <w:numPr>
          <w:ilvl w:val="0"/>
          <w:numId w:val="12"/>
        </w:numPr>
        <w:spacing w:before="0" w:line="360" w:lineRule="auto"/>
        <w:ind w:left="0" w:firstLine="0"/>
        <w:rPr>
          <w:rFonts w:ascii="Palatino Linotype" w:hAnsi="Palatino Linotype"/>
          <w:b/>
          <w:color w:val="auto"/>
          <w:sz w:val="24"/>
          <w:szCs w:val="24"/>
        </w:rPr>
      </w:pPr>
      <w:bookmarkStart w:id="0" w:name="_Toc2684302"/>
      <w:r w:rsidRPr="00072966">
        <w:rPr>
          <w:rFonts w:ascii="Palatino Linotype" w:hAnsi="Palatino Linotype"/>
          <w:b/>
          <w:color w:val="auto"/>
          <w:sz w:val="24"/>
          <w:szCs w:val="24"/>
        </w:rPr>
        <w:t>Consideraciones Generales.</w:t>
      </w:r>
      <w:bookmarkEnd w:id="0"/>
    </w:p>
    <w:p w:rsidR="0046491C" w:rsidRPr="00072966" w:rsidRDefault="0046491C" w:rsidP="00EC7A17">
      <w:pPr>
        <w:pStyle w:val="Prrafodelista"/>
        <w:spacing w:after="0" w:line="360" w:lineRule="auto"/>
        <w:ind w:left="0"/>
        <w:jc w:val="both"/>
        <w:rPr>
          <w:rFonts w:ascii="Palatino Linotype" w:hAnsi="Palatino Linotype" w:cs="Arial"/>
          <w:b/>
          <w:sz w:val="24"/>
          <w:szCs w:val="24"/>
        </w:rPr>
      </w:pPr>
    </w:p>
    <w:p w:rsidR="0046491C" w:rsidRPr="00072966" w:rsidRDefault="0046491C"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lastRenderedPageBreak/>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 xml:space="preserve">co y Municipios, en su </w:t>
      </w:r>
      <w:r w:rsidR="00182E83">
        <w:rPr>
          <w:rFonts w:ascii="Palatino Linotype" w:hAnsi="Palatino Linotype" w:cs="Arial"/>
          <w:sz w:val="24"/>
          <w:szCs w:val="24"/>
        </w:rPr>
        <w:t>Octava</w:t>
      </w:r>
      <w:r w:rsidR="0076241F" w:rsidRPr="00072966">
        <w:rPr>
          <w:rFonts w:ascii="Palatino Linotype" w:hAnsi="Palatino Linotype" w:cs="Arial"/>
          <w:sz w:val="24"/>
          <w:szCs w:val="24"/>
        </w:rPr>
        <w:t xml:space="preserve"> </w:t>
      </w:r>
      <w:r w:rsidR="00182E83">
        <w:rPr>
          <w:rFonts w:ascii="Palatino Linotype" w:hAnsi="Palatino Linotype" w:cs="Arial"/>
          <w:sz w:val="24"/>
          <w:szCs w:val="24"/>
        </w:rPr>
        <w:t>S</w:t>
      </w:r>
      <w:r w:rsidRPr="00072966">
        <w:rPr>
          <w:rFonts w:ascii="Palatino Linotype" w:hAnsi="Palatino Linotype" w:cs="Arial"/>
          <w:sz w:val="24"/>
          <w:szCs w:val="24"/>
        </w:rPr>
        <w:t xml:space="preserve">esión ordinaria </w:t>
      </w:r>
      <w:r w:rsidR="00C7250F" w:rsidRPr="00072966">
        <w:rPr>
          <w:rFonts w:ascii="Palatino Linotype" w:hAnsi="Palatino Linotype" w:cs="Arial"/>
          <w:sz w:val="24"/>
          <w:szCs w:val="24"/>
        </w:rPr>
        <w:t xml:space="preserve">de fecha </w:t>
      </w:r>
      <w:r w:rsidR="00182E83">
        <w:rPr>
          <w:rFonts w:ascii="Palatino Linotype" w:hAnsi="Palatino Linotype" w:cs="Arial"/>
          <w:sz w:val="24"/>
          <w:szCs w:val="24"/>
        </w:rPr>
        <w:t>veintisiete (27</w:t>
      </w:r>
      <w:r w:rsidR="007A7E94">
        <w:rPr>
          <w:rFonts w:ascii="Palatino Linotype" w:hAnsi="Palatino Linotype" w:cs="Arial"/>
          <w:sz w:val="24"/>
          <w:szCs w:val="24"/>
        </w:rPr>
        <w:t xml:space="preserve">) </w:t>
      </w:r>
      <w:r w:rsidR="0076241F" w:rsidRPr="005A15E9">
        <w:rPr>
          <w:rFonts w:ascii="Palatino Linotype" w:hAnsi="Palatino Linotype" w:cs="Arial"/>
          <w:sz w:val="24"/>
          <w:szCs w:val="24"/>
        </w:rPr>
        <w:t xml:space="preserve">de </w:t>
      </w:r>
      <w:r w:rsidR="00182E83">
        <w:rPr>
          <w:rFonts w:ascii="Palatino Linotype" w:hAnsi="Palatino Linotype" w:cs="Arial"/>
          <w:sz w:val="24"/>
          <w:szCs w:val="24"/>
        </w:rPr>
        <w:t>dos mil diecinueve</w:t>
      </w:r>
      <w:r w:rsidRPr="005A15E9">
        <w:rPr>
          <w:rFonts w:ascii="Palatino Linotype" w:hAnsi="Palatino Linotype" w:cs="Arial"/>
          <w:sz w:val="24"/>
          <w:szCs w:val="24"/>
        </w:rPr>
        <w:t>, en el recurso</w:t>
      </w:r>
      <w:r w:rsidR="002C1F75" w:rsidRPr="005A15E9">
        <w:rPr>
          <w:rFonts w:ascii="Palatino Linotype" w:hAnsi="Palatino Linotype" w:cs="Arial"/>
          <w:sz w:val="24"/>
          <w:szCs w:val="24"/>
        </w:rPr>
        <w:t xml:space="preserve"> de revisión promovido</w:t>
      </w:r>
      <w:r w:rsidRPr="005A15E9">
        <w:rPr>
          <w:rFonts w:ascii="Palatino Linotype" w:hAnsi="Palatino Linotype" w:cs="Arial"/>
          <w:sz w:val="24"/>
          <w:szCs w:val="24"/>
        </w:rPr>
        <w:t xml:space="preserve"> por</w:t>
      </w:r>
      <w:r w:rsidRPr="005A15E9">
        <w:rPr>
          <w:rFonts w:ascii="Palatino Linotype" w:hAnsi="Palatino Linotype" w:cs="Arial"/>
          <w:b/>
          <w:sz w:val="24"/>
          <w:szCs w:val="24"/>
        </w:rPr>
        <w:t xml:space="preserve"> </w:t>
      </w:r>
      <w:r w:rsidR="005857F5" w:rsidRPr="005857F5">
        <w:rPr>
          <w:rFonts w:ascii="Palatino Linotype" w:hAnsi="Palatino Linotype"/>
          <w:b/>
          <w:highlight w:val="black"/>
          <w:lang w:val="es-ES_tradnl"/>
        </w:rPr>
        <w:t>--------------------------------------------------</w:t>
      </w:r>
      <w:r w:rsidRPr="005A15E9">
        <w:rPr>
          <w:rFonts w:ascii="Palatino Linotype" w:hAnsi="Palatino Linotype" w:cs="Arial"/>
          <w:sz w:val="24"/>
          <w:szCs w:val="24"/>
        </w:rPr>
        <w:t>,</w:t>
      </w:r>
      <w:r w:rsidRPr="005A15E9">
        <w:rPr>
          <w:rFonts w:ascii="Palatino Linotype" w:hAnsi="Palatino Linotype" w:cs="Arial"/>
          <w:b/>
          <w:sz w:val="24"/>
          <w:szCs w:val="24"/>
        </w:rPr>
        <w:t xml:space="preserve"> </w:t>
      </w:r>
      <w:r w:rsidRPr="005A15E9">
        <w:rPr>
          <w:rFonts w:ascii="Palatino Linotype" w:hAnsi="Palatino Linotype" w:cs="Arial"/>
          <w:sz w:val="24"/>
          <w:szCs w:val="24"/>
        </w:rPr>
        <w:t>en contra de la respuesta de</w:t>
      </w:r>
      <w:r w:rsidR="007A7E94">
        <w:rPr>
          <w:rFonts w:ascii="Palatino Linotype" w:hAnsi="Palatino Linotype" w:cs="Arial"/>
          <w:sz w:val="24"/>
          <w:szCs w:val="24"/>
        </w:rPr>
        <w:t xml:space="preserve"> la</w:t>
      </w:r>
      <w:r w:rsidRPr="005A15E9">
        <w:rPr>
          <w:rFonts w:ascii="Palatino Linotype" w:hAnsi="Palatino Linotype" w:cs="Arial"/>
          <w:sz w:val="24"/>
          <w:szCs w:val="24"/>
        </w:rPr>
        <w:t xml:space="preserve"> </w:t>
      </w:r>
      <w:r w:rsidR="00182E83" w:rsidRPr="00060141">
        <w:rPr>
          <w:rFonts w:ascii="Palatino Linotype" w:hAnsi="Palatino Linotype"/>
          <w:b/>
          <w:lang w:val="es-ES_tradnl"/>
        </w:rPr>
        <w:t xml:space="preserve">Sistema Municipal Para el Desarrollo Integral de la Familia de </w:t>
      </w:r>
      <w:proofErr w:type="spellStart"/>
      <w:r w:rsidR="00182E83" w:rsidRPr="00060141">
        <w:rPr>
          <w:rFonts w:ascii="Palatino Linotype" w:hAnsi="Palatino Linotype"/>
          <w:b/>
          <w:lang w:val="es-ES_tradnl"/>
        </w:rPr>
        <w:t>Zinacantepec</w:t>
      </w:r>
      <w:proofErr w:type="spellEnd"/>
      <w:r w:rsidRPr="005A15E9">
        <w:rPr>
          <w:rFonts w:ascii="Palatino Linotype" w:hAnsi="Palatino Linotype" w:cs="Arial"/>
          <w:sz w:val="24"/>
          <w:szCs w:val="24"/>
        </w:rPr>
        <w:t>, procedimiento a</w:t>
      </w:r>
      <w:r w:rsidR="0000525F" w:rsidRPr="005A15E9">
        <w:rPr>
          <w:rFonts w:ascii="Palatino Linotype" w:hAnsi="Palatino Linotype" w:cs="Arial"/>
          <w:sz w:val="24"/>
          <w:szCs w:val="24"/>
        </w:rPr>
        <w:t>l</w:t>
      </w:r>
      <w:r w:rsidR="00902248" w:rsidRPr="005A15E9">
        <w:rPr>
          <w:rFonts w:ascii="Palatino Linotype" w:hAnsi="Palatino Linotype" w:cs="Arial"/>
          <w:sz w:val="24"/>
          <w:szCs w:val="24"/>
        </w:rPr>
        <w:t xml:space="preserve"> que se le asignó </w:t>
      </w:r>
      <w:r w:rsidR="0000525F" w:rsidRPr="005A15E9">
        <w:rPr>
          <w:rFonts w:ascii="Palatino Linotype" w:hAnsi="Palatino Linotype" w:cs="Arial"/>
          <w:sz w:val="24"/>
          <w:szCs w:val="24"/>
        </w:rPr>
        <w:t>el</w:t>
      </w:r>
      <w:r w:rsidRPr="005A15E9">
        <w:rPr>
          <w:rFonts w:ascii="Palatino Linotype" w:hAnsi="Palatino Linotype" w:cs="Arial"/>
          <w:sz w:val="24"/>
          <w:szCs w:val="24"/>
        </w:rPr>
        <w:t xml:space="preserve"> número de expediente </w:t>
      </w:r>
      <w:r w:rsidR="0076241F" w:rsidRPr="005A15E9">
        <w:rPr>
          <w:rFonts w:ascii="Palatino Linotype" w:eastAsia="Times New Roman" w:hAnsi="Palatino Linotype" w:cs="Arial"/>
          <w:b/>
          <w:bCs/>
          <w:sz w:val="24"/>
          <w:szCs w:val="24"/>
          <w:lang w:eastAsia="es-ES"/>
        </w:rPr>
        <w:t>0</w:t>
      </w:r>
      <w:r w:rsidR="00182E83">
        <w:rPr>
          <w:rFonts w:ascii="Palatino Linotype" w:eastAsia="Times New Roman" w:hAnsi="Palatino Linotype" w:cs="Arial"/>
          <w:b/>
          <w:bCs/>
          <w:sz w:val="24"/>
          <w:szCs w:val="24"/>
          <w:lang w:eastAsia="es-ES"/>
        </w:rPr>
        <w:t>4594</w:t>
      </w:r>
      <w:r w:rsidR="00C7250F" w:rsidRPr="005A15E9">
        <w:rPr>
          <w:rFonts w:ascii="Palatino Linotype" w:eastAsia="Times New Roman" w:hAnsi="Palatino Linotype" w:cs="Arial"/>
          <w:b/>
          <w:bCs/>
          <w:sz w:val="24"/>
          <w:szCs w:val="24"/>
          <w:lang w:eastAsia="es-ES"/>
        </w:rPr>
        <w:t>/</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00525F" w:rsidRPr="00072966" w:rsidRDefault="0000525F" w:rsidP="00EC7A17">
      <w:pPr>
        <w:pStyle w:val="Prrafodelista"/>
        <w:spacing w:after="0" w:line="360" w:lineRule="auto"/>
        <w:ind w:left="0"/>
        <w:jc w:val="both"/>
        <w:rPr>
          <w:rFonts w:ascii="Palatino Linotype" w:hAnsi="Palatino Linotype" w:cs="Arial"/>
          <w:sz w:val="24"/>
          <w:szCs w:val="24"/>
        </w:rPr>
      </w:pPr>
    </w:p>
    <w:p w:rsidR="00182E83" w:rsidRPr="00182E83" w:rsidRDefault="00C7250F" w:rsidP="00182E83">
      <w:pPr>
        <w:pStyle w:val="Prrafodelista"/>
        <w:numPr>
          <w:ilvl w:val="0"/>
          <w:numId w:val="1"/>
        </w:numPr>
        <w:spacing w:after="0" w:line="360" w:lineRule="auto"/>
        <w:ind w:left="0" w:right="49" w:firstLine="0"/>
        <w:jc w:val="both"/>
        <w:rPr>
          <w:rFonts w:ascii="Palatino Linotype" w:eastAsia="Times New Roman" w:hAnsi="Palatino Linotype" w:cs="Times New Roman"/>
          <w:color w:val="000000"/>
          <w:sz w:val="24"/>
          <w:szCs w:val="24"/>
          <w:lang w:val="es-ES" w:eastAsia="es-ES"/>
        </w:rPr>
      </w:pPr>
      <w:r w:rsidRPr="00DD7C56">
        <w:rPr>
          <w:rFonts w:ascii="Palatino Linotype" w:hAnsi="Palatino Linotype" w:cs="Arial"/>
          <w:sz w:val="24"/>
          <w:szCs w:val="24"/>
        </w:rPr>
        <w:t xml:space="preserve">El sentido de la Resolución puntualmente determina </w:t>
      </w:r>
      <w:r w:rsidR="001923C0">
        <w:rPr>
          <w:rFonts w:ascii="Palatino Linotype" w:hAnsi="Palatino Linotype" w:cs="Arial"/>
          <w:sz w:val="24"/>
          <w:szCs w:val="24"/>
          <w:u w:val="single"/>
        </w:rPr>
        <w:t>m</w:t>
      </w:r>
      <w:r w:rsidR="00DD7C56" w:rsidRPr="001923C0">
        <w:rPr>
          <w:rFonts w:ascii="Palatino Linotype" w:hAnsi="Palatino Linotype" w:cs="Arial"/>
          <w:sz w:val="24"/>
          <w:szCs w:val="24"/>
          <w:u w:val="single"/>
        </w:rPr>
        <w:t>odificar</w:t>
      </w:r>
      <w:r w:rsidR="00DD7C56" w:rsidRPr="00DD7C56">
        <w:rPr>
          <w:rFonts w:ascii="Palatino Linotype" w:hAnsi="Palatino Linotype" w:cs="Arial"/>
          <w:sz w:val="24"/>
          <w:szCs w:val="24"/>
        </w:rPr>
        <w:t xml:space="preserve"> la respuesta del </w:t>
      </w:r>
      <w:r w:rsidR="00DD7C56" w:rsidRPr="00182E83">
        <w:rPr>
          <w:rFonts w:ascii="Palatino Linotype" w:hAnsi="Palatino Linotype" w:cs="Arial"/>
          <w:b/>
          <w:sz w:val="24"/>
          <w:szCs w:val="24"/>
        </w:rPr>
        <w:t>Sujeto Obligado</w:t>
      </w:r>
      <w:r w:rsidR="00DD7C56" w:rsidRPr="00DD7C56">
        <w:rPr>
          <w:rFonts w:ascii="Palatino Linotype" w:hAnsi="Palatino Linotype" w:cs="Arial"/>
          <w:sz w:val="24"/>
          <w:szCs w:val="24"/>
        </w:rPr>
        <w:t xml:space="preserve"> y </w:t>
      </w:r>
      <w:r w:rsidR="00DD7C56" w:rsidRPr="001923C0">
        <w:rPr>
          <w:rFonts w:ascii="Palatino Linotype" w:hAnsi="Palatino Linotype" w:cs="Arial"/>
          <w:sz w:val="24"/>
          <w:szCs w:val="24"/>
          <w:u w:val="single"/>
        </w:rPr>
        <w:t>ordenar</w:t>
      </w:r>
      <w:r w:rsidR="00DD7C56" w:rsidRPr="00DD7C56">
        <w:rPr>
          <w:rFonts w:ascii="Palatino Linotype" w:hAnsi="Palatino Linotype" w:cs="Arial"/>
          <w:sz w:val="24"/>
          <w:szCs w:val="24"/>
        </w:rPr>
        <w:t xml:space="preserve"> </w:t>
      </w:r>
      <w:r w:rsidR="00DD7C56" w:rsidRPr="00DD7C56">
        <w:rPr>
          <w:rFonts w:ascii="Palatino Linotype" w:eastAsia="Times New Roman" w:hAnsi="Palatino Linotype" w:cs="Times New Roman"/>
          <w:color w:val="000000"/>
          <w:sz w:val="24"/>
          <w:szCs w:val="24"/>
          <w:lang w:val="es-ES" w:eastAsia="es-ES"/>
        </w:rPr>
        <w:t>de se</w:t>
      </w:r>
      <w:r w:rsidR="00357946">
        <w:rPr>
          <w:rFonts w:ascii="Palatino Linotype" w:eastAsia="Times New Roman" w:hAnsi="Palatino Linotype" w:cs="Times New Roman"/>
          <w:color w:val="000000"/>
          <w:sz w:val="24"/>
          <w:szCs w:val="24"/>
          <w:lang w:val="es-ES" w:eastAsia="es-ES"/>
        </w:rPr>
        <w:t xml:space="preserve">r procedente en versión pública </w:t>
      </w:r>
      <w:r w:rsidR="00357946" w:rsidRPr="00357946">
        <w:rPr>
          <w:rFonts w:ascii="Palatino Linotype" w:hAnsi="Palatino Linotype" w:cs="Arial"/>
          <w:sz w:val="24"/>
          <w:szCs w:val="24"/>
        </w:rPr>
        <w:t xml:space="preserve">el </w:t>
      </w:r>
      <w:r w:rsidR="00182E83">
        <w:rPr>
          <w:rFonts w:ascii="Palatino Linotype" w:hAnsi="Palatino Linotype" w:cs="Arial"/>
          <w:sz w:val="24"/>
          <w:szCs w:val="24"/>
        </w:rPr>
        <w:t>soporte documental, donde conste la siguiente información:</w:t>
      </w:r>
    </w:p>
    <w:p w:rsidR="00182E83" w:rsidRPr="00182E83" w:rsidRDefault="00182E83" w:rsidP="00182E83">
      <w:pPr>
        <w:pStyle w:val="Prrafodelista"/>
        <w:rPr>
          <w:rFonts w:ascii="Palatino Linotype" w:eastAsia="Times New Roman" w:hAnsi="Palatino Linotype" w:cs="Times New Roman"/>
          <w:color w:val="000000"/>
          <w:sz w:val="24"/>
          <w:szCs w:val="24"/>
          <w:lang w:val="es-ES" w:eastAsia="es-ES"/>
        </w:rPr>
      </w:pPr>
    </w:p>
    <w:p w:rsidR="00182E83" w:rsidRDefault="00182E83" w:rsidP="00182E83">
      <w:pPr>
        <w:ind w:left="567" w:right="49"/>
        <w:jc w:val="both"/>
        <w:rPr>
          <w:rFonts w:ascii="Palatino Linotype" w:eastAsia="Calibri" w:hAnsi="Palatino Linotype"/>
          <w:b/>
          <w:i/>
        </w:rPr>
      </w:pPr>
      <w:r w:rsidRPr="0024753E">
        <w:rPr>
          <w:rFonts w:ascii="Palatino Linotype" w:eastAsia="Calibri" w:hAnsi="Palatino Linotype"/>
          <w:b/>
          <w:i/>
        </w:rPr>
        <w:t xml:space="preserve">- Los nombramientos de los servidores públicos mencionados en las actas de las Junta  de Gobierno del Sistema Municipal para el Desarrollo Integral de la Familia de </w:t>
      </w:r>
      <w:proofErr w:type="spellStart"/>
      <w:r w:rsidRPr="0024753E">
        <w:rPr>
          <w:rFonts w:ascii="Palatino Linotype" w:eastAsia="Calibri" w:hAnsi="Palatino Linotype"/>
          <w:b/>
          <w:i/>
        </w:rPr>
        <w:t>Zinacantepec</w:t>
      </w:r>
      <w:proofErr w:type="spellEnd"/>
      <w:r w:rsidRPr="0024753E">
        <w:rPr>
          <w:rFonts w:ascii="Palatino Linotype" w:eastAsia="Calibri" w:hAnsi="Palatino Linotype"/>
          <w:b/>
          <w:i/>
        </w:rPr>
        <w:t>, proporcionadas en respuesta.</w:t>
      </w:r>
      <w:r>
        <w:rPr>
          <w:rFonts w:ascii="Palatino Linotype" w:eastAsia="Calibri" w:hAnsi="Palatino Linotype"/>
          <w:b/>
          <w:i/>
        </w:rPr>
        <w:t xml:space="preserve"> </w:t>
      </w:r>
    </w:p>
    <w:p w:rsidR="00182E83" w:rsidRDefault="00182E83" w:rsidP="00182E83">
      <w:pPr>
        <w:ind w:left="567" w:right="49"/>
        <w:jc w:val="both"/>
        <w:rPr>
          <w:rFonts w:ascii="Palatino Linotype" w:eastAsia="Calibri" w:hAnsi="Palatino Linotype"/>
          <w:b/>
          <w:i/>
        </w:rPr>
      </w:pPr>
    </w:p>
    <w:p w:rsidR="00182E83" w:rsidRPr="00840A08" w:rsidRDefault="00182E83" w:rsidP="00182E83">
      <w:pPr>
        <w:ind w:left="567" w:right="49"/>
        <w:jc w:val="both"/>
        <w:rPr>
          <w:rFonts w:ascii="Palatino Linotype" w:eastAsia="Calibri" w:hAnsi="Palatino Linotype"/>
          <w:b/>
          <w:i/>
        </w:rPr>
      </w:pPr>
      <w:r>
        <w:rPr>
          <w:rFonts w:ascii="Palatino Linotype" w:eastAsia="Calibri" w:hAnsi="Palatino Linotype"/>
          <w:b/>
          <w:i/>
        </w:rPr>
        <w:t>- L</w:t>
      </w:r>
      <w:r w:rsidRPr="00840A08">
        <w:rPr>
          <w:rFonts w:ascii="Palatino Linotype" w:eastAsia="Calibri" w:hAnsi="Palatino Linotype"/>
          <w:b/>
          <w:i/>
        </w:rPr>
        <w:t>a Constancia de evaluación de examen para titulación a nivel maestría, el Certificado de Estudios y el Diploma de estudios expedidos a favor del servidor público proporcionados en respuesta.</w:t>
      </w:r>
    </w:p>
    <w:p w:rsidR="00182E83" w:rsidRPr="00357946" w:rsidRDefault="00182E83" w:rsidP="00182E83">
      <w:pPr>
        <w:pStyle w:val="Prrafodelista"/>
        <w:spacing w:after="0" w:line="360" w:lineRule="auto"/>
        <w:ind w:left="0" w:right="49"/>
        <w:jc w:val="both"/>
        <w:rPr>
          <w:rFonts w:ascii="Palatino Linotype" w:eastAsia="Times New Roman" w:hAnsi="Palatino Linotype" w:cs="Times New Roman"/>
          <w:color w:val="000000"/>
          <w:sz w:val="24"/>
          <w:szCs w:val="24"/>
          <w:lang w:val="es-ES" w:eastAsia="es-ES"/>
        </w:rPr>
      </w:pPr>
    </w:p>
    <w:p w:rsidR="00C7250F" w:rsidRDefault="000B7C6E" w:rsidP="00EC7A17">
      <w:pPr>
        <w:pStyle w:val="Prrafodelista"/>
        <w:numPr>
          <w:ilvl w:val="0"/>
          <w:numId w:val="1"/>
        </w:numPr>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S</w:t>
      </w:r>
      <w:r w:rsidR="00182E83">
        <w:rPr>
          <w:rFonts w:ascii="Palatino Linotype" w:hAnsi="Palatino Linotype" w:cs="Arial"/>
          <w:sz w:val="24"/>
          <w:szCs w:val="24"/>
        </w:rPr>
        <w:t xml:space="preserve">in embargo, en el presente asunto, mi voto particular se deriva </w:t>
      </w:r>
      <w:r w:rsidR="008D3BCF">
        <w:rPr>
          <w:rFonts w:ascii="Palatino Linotype" w:hAnsi="Palatino Linotype" w:cs="Arial"/>
          <w:sz w:val="24"/>
          <w:szCs w:val="24"/>
        </w:rPr>
        <w:t xml:space="preserve">en que la Ponencia determinó ordenar en versión pública el documento en donde conste lo requerido por el solicitante, en lo que difiero respecto a ordenar el acuerdo de </w:t>
      </w:r>
      <w:r w:rsidR="008D3BCF">
        <w:rPr>
          <w:rFonts w:ascii="Palatino Linotype" w:hAnsi="Palatino Linotype" w:cs="Arial"/>
          <w:sz w:val="24"/>
          <w:szCs w:val="24"/>
        </w:rPr>
        <w:lastRenderedPageBreak/>
        <w:t xml:space="preserve">clasificación de los datos personales por parte del Comité de Transparencia, para suprimir entre otros la fotografía. </w:t>
      </w:r>
    </w:p>
    <w:p w:rsidR="0001046D" w:rsidRDefault="0001046D" w:rsidP="00EC7A17">
      <w:pPr>
        <w:pStyle w:val="Prrafodelista"/>
        <w:spacing w:after="0" w:line="360" w:lineRule="auto"/>
        <w:ind w:left="0"/>
        <w:rPr>
          <w:rFonts w:ascii="Palatino Linotype" w:hAnsi="Palatino Linotype" w:cs="Arial"/>
          <w:sz w:val="24"/>
          <w:szCs w:val="24"/>
        </w:rPr>
      </w:pPr>
    </w:p>
    <w:p w:rsidR="0046491C" w:rsidRPr="00072966" w:rsidRDefault="0046491C" w:rsidP="00EC7A17">
      <w:pPr>
        <w:pStyle w:val="Ttulo1"/>
        <w:numPr>
          <w:ilvl w:val="0"/>
          <w:numId w:val="12"/>
        </w:numPr>
        <w:spacing w:before="0" w:line="360" w:lineRule="auto"/>
        <w:ind w:left="0" w:firstLine="0"/>
        <w:rPr>
          <w:rFonts w:ascii="Palatino Linotype" w:hAnsi="Palatino Linotype"/>
          <w:b/>
          <w:color w:val="auto"/>
          <w:sz w:val="24"/>
          <w:szCs w:val="24"/>
        </w:rPr>
      </w:pPr>
      <w:bookmarkStart w:id="1" w:name="_Toc2684303"/>
      <w:r w:rsidRPr="00072966">
        <w:rPr>
          <w:rFonts w:ascii="Palatino Linotype" w:hAnsi="Palatino Linotype"/>
          <w:b/>
          <w:color w:val="auto"/>
          <w:sz w:val="24"/>
          <w:szCs w:val="24"/>
        </w:rPr>
        <w:t>De los requerimientos planteados en el recurso de revisión.</w:t>
      </w:r>
      <w:bookmarkEnd w:id="1"/>
    </w:p>
    <w:p w:rsidR="0046491C" w:rsidRPr="00072966" w:rsidRDefault="0046491C" w:rsidP="00EC7A17">
      <w:pPr>
        <w:pStyle w:val="Prrafodelista"/>
        <w:spacing w:after="0" w:line="360" w:lineRule="auto"/>
        <w:ind w:left="0"/>
        <w:jc w:val="both"/>
        <w:rPr>
          <w:rFonts w:ascii="Palatino Linotype" w:hAnsi="Palatino Linotype" w:cs="Arial"/>
          <w:sz w:val="24"/>
          <w:szCs w:val="24"/>
        </w:rPr>
      </w:pPr>
    </w:p>
    <w:p w:rsidR="00DF6665" w:rsidRPr="00DF6665" w:rsidRDefault="008E1DCC" w:rsidP="00EC7A17">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072966">
        <w:rPr>
          <w:rFonts w:ascii="Palatino Linotype" w:hAnsi="Palatino Linotype" w:cs="Arial"/>
          <w:sz w:val="24"/>
          <w:szCs w:val="24"/>
        </w:rPr>
        <w:t>El particular</w:t>
      </w:r>
      <w:r w:rsidR="00DF6665">
        <w:rPr>
          <w:rFonts w:ascii="Palatino Linotype" w:hAnsi="Palatino Linotype" w:cs="Arial"/>
          <w:sz w:val="24"/>
          <w:szCs w:val="24"/>
        </w:rPr>
        <w:t xml:space="preserve"> solicitó que el </w:t>
      </w:r>
      <w:r w:rsidR="00DF6665" w:rsidRPr="00F444A1">
        <w:rPr>
          <w:rFonts w:ascii="Palatino Linotype" w:hAnsi="Palatino Linotype" w:cs="Arial"/>
          <w:b/>
          <w:sz w:val="24"/>
          <w:szCs w:val="24"/>
        </w:rPr>
        <w:t>Sujeto Obligado</w:t>
      </w:r>
      <w:r w:rsidR="00DF6665">
        <w:rPr>
          <w:rFonts w:ascii="Palatino Linotype" w:hAnsi="Palatino Linotype" w:cs="Arial"/>
          <w:sz w:val="24"/>
          <w:szCs w:val="24"/>
        </w:rPr>
        <w:t xml:space="preserve"> le remitiera la siguiente información: </w:t>
      </w:r>
    </w:p>
    <w:p w:rsidR="00F444A1" w:rsidRPr="00F444A1" w:rsidRDefault="00F444A1" w:rsidP="00B7494A">
      <w:pPr>
        <w:pStyle w:val="Prrafodelista"/>
        <w:spacing w:before="240" w:after="240" w:line="276" w:lineRule="auto"/>
        <w:ind w:left="567" w:right="616"/>
        <w:jc w:val="both"/>
        <w:rPr>
          <w:rFonts w:ascii="Palatino Linotype" w:hAnsi="Palatino Linotype" w:cs="Arial"/>
          <w:b/>
        </w:rPr>
      </w:pPr>
      <w:r w:rsidRPr="00F444A1">
        <w:rPr>
          <w:rFonts w:ascii="Palatino Linotype" w:hAnsi="Palatino Linotype" w:cs="Arial"/>
          <w:i/>
          <w:lang w:eastAsia="es-MX"/>
        </w:rPr>
        <w:t xml:space="preserve">“Solicito copias simples de todos los nombramientos que aprobó la junta de gobierno y que firmó el entonces Director Gabriel Valdés y por el presidente </w:t>
      </w:r>
      <w:proofErr w:type="spellStart"/>
      <w:r w:rsidRPr="00F444A1">
        <w:rPr>
          <w:rFonts w:ascii="Palatino Linotype" w:hAnsi="Palatino Linotype" w:cs="Arial"/>
          <w:i/>
          <w:lang w:eastAsia="es-MX"/>
        </w:rPr>
        <w:t>Herson</w:t>
      </w:r>
      <w:proofErr w:type="spellEnd"/>
      <w:r w:rsidRPr="00F444A1">
        <w:rPr>
          <w:rFonts w:ascii="Palatino Linotype" w:hAnsi="Palatino Linotype" w:cs="Arial"/>
          <w:i/>
          <w:lang w:eastAsia="es-MX"/>
        </w:rPr>
        <w:t xml:space="preserve"> Castrejón así como sus respectivas actas por cada nombramiento. </w:t>
      </w:r>
      <w:r w:rsidRPr="00F444A1">
        <w:rPr>
          <w:rFonts w:ascii="Palatino Linotype" w:hAnsi="Palatino Linotype" w:cs="Arial"/>
          <w:b/>
          <w:i/>
          <w:lang w:eastAsia="es-MX"/>
        </w:rPr>
        <w:t>También solicito documento donde acredite el grado de Maestro de Gabriel Valdés.</w:t>
      </w:r>
      <w:r w:rsidRPr="00F444A1">
        <w:rPr>
          <w:rFonts w:ascii="Palatino Linotype" w:hAnsi="Palatino Linotype" w:cs="Arial"/>
          <w:i/>
          <w:lang w:eastAsia="es-MX"/>
        </w:rPr>
        <w:t xml:space="preserve"> Deseo me proporcionen copias de todas las certificaciones firmadas como secretario de la junta de gobierno autorizó con, dio </w:t>
      </w:r>
      <w:proofErr w:type="spellStart"/>
      <w:r w:rsidRPr="00F444A1">
        <w:rPr>
          <w:rFonts w:ascii="Palatino Linotype" w:hAnsi="Palatino Linotype" w:cs="Arial"/>
          <w:i/>
          <w:lang w:eastAsia="es-MX"/>
        </w:rPr>
        <w:t>fé</w:t>
      </w:r>
      <w:proofErr w:type="spellEnd"/>
      <w:r w:rsidRPr="00F444A1">
        <w:rPr>
          <w:rFonts w:ascii="Palatino Linotype" w:hAnsi="Palatino Linotype" w:cs="Arial"/>
          <w:i/>
          <w:lang w:eastAsia="es-MX"/>
        </w:rPr>
        <w:t xml:space="preserve"> o hizo constar durante el tiempo que estuvo a cargo.”(Sic).</w:t>
      </w:r>
    </w:p>
    <w:p w:rsidR="0042345D" w:rsidRDefault="0042345D" w:rsidP="00EC7A17">
      <w:pPr>
        <w:pStyle w:val="Prrafodelista"/>
        <w:autoSpaceDE w:val="0"/>
        <w:autoSpaceDN w:val="0"/>
        <w:adjustRightInd w:val="0"/>
        <w:spacing w:after="0" w:line="360" w:lineRule="auto"/>
        <w:ind w:left="0" w:right="758"/>
        <w:contextualSpacing w:val="0"/>
        <w:jc w:val="both"/>
        <w:rPr>
          <w:rFonts w:ascii="Palatino Linotype" w:hAnsi="Palatino Linotype"/>
          <w:i/>
          <w:color w:val="000000"/>
        </w:rPr>
      </w:pPr>
    </w:p>
    <w:p w:rsidR="00746812" w:rsidRPr="00F444A1" w:rsidRDefault="00AE4797" w:rsidP="00EC7A17">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42345D">
        <w:rPr>
          <w:rFonts w:ascii="Palatino Linotype" w:hAnsi="Palatino Linotype" w:cs="Arial"/>
          <w:sz w:val="24"/>
          <w:szCs w:val="24"/>
        </w:rPr>
        <w:t xml:space="preserve">El </w:t>
      </w:r>
      <w:r w:rsidRPr="00B07D70">
        <w:rPr>
          <w:rFonts w:ascii="Palatino Linotype" w:hAnsi="Palatino Linotype" w:cs="Arial"/>
          <w:b/>
          <w:sz w:val="24"/>
          <w:szCs w:val="24"/>
        </w:rPr>
        <w:t xml:space="preserve">Sujeto Obligado </w:t>
      </w:r>
      <w:r w:rsidR="00C7250F" w:rsidRPr="0042345D">
        <w:rPr>
          <w:rFonts w:ascii="Palatino Linotype" w:hAnsi="Palatino Linotype" w:cs="Arial"/>
          <w:sz w:val="24"/>
          <w:szCs w:val="24"/>
        </w:rPr>
        <w:t>en respuesta</w:t>
      </w:r>
      <w:r w:rsidR="00746812">
        <w:rPr>
          <w:rFonts w:ascii="Palatino Linotype" w:hAnsi="Palatino Linotype" w:cs="Arial"/>
          <w:sz w:val="24"/>
          <w:szCs w:val="24"/>
        </w:rPr>
        <w:t xml:space="preserve"> señala lo siguiente: </w:t>
      </w:r>
    </w:p>
    <w:p w:rsidR="00F444A1" w:rsidRPr="00C175EA" w:rsidRDefault="00F444A1" w:rsidP="00C175EA">
      <w:pPr>
        <w:pStyle w:val="Prrafodelista"/>
        <w:spacing w:after="0" w:line="360" w:lineRule="auto"/>
        <w:ind w:left="567"/>
        <w:jc w:val="both"/>
        <w:rPr>
          <w:rFonts w:ascii="Palatino Linotype" w:eastAsia="Times New Roman" w:hAnsi="Palatino Linotype" w:cs="Times New Roman"/>
          <w:i/>
          <w:sz w:val="24"/>
          <w:szCs w:val="24"/>
          <w:lang w:val="es-ES_tradnl" w:eastAsia="es-ES"/>
        </w:rPr>
      </w:pPr>
    </w:p>
    <w:p w:rsidR="00BE26B6" w:rsidRDefault="00C175EA" w:rsidP="00C175EA">
      <w:pPr>
        <w:pStyle w:val="Prrafodelista"/>
        <w:spacing w:after="0" w:line="360" w:lineRule="auto"/>
        <w:ind w:left="567"/>
        <w:jc w:val="both"/>
        <w:rPr>
          <w:rFonts w:ascii="Palatino Linotype" w:hAnsi="Palatino Linotype" w:cs="Arial"/>
          <w:i/>
          <w:sz w:val="24"/>
          <w:szCs w:val="24"/>
        </w:rPr>
      </w:pPr>
      <w:r w:rsidRPr="00C175EA">
        <w:rPr>
          <w:rFonts w:ascii="Palatino Linotype" w:hAnsi="Palatino Linotype" w:cs="Arial"/>
          <w:i/>
          <w:sz w:val="24"/>
          <w:szCs w:val="24"/>
        </w:rPr>
        <w:t xml:space="preserve">“… En atención a la solicitud </w:t>
      </w:r>
      <w:r>
        <w:rPr>
          <w:rFonts w:ascii="Palatino Linotype" w:hAnsi="Palatino Linotype" w:cs="Arial"/>
          <w:i/>
          <w:sz w:val="24"/>
          <w:szCs w:val="24"/>
        </w:rPr>
        <w:t xml:space="preserve">de información, remiten lo solicitado en formato PDF, asimismo, señaló que no cuentan con lo acuses de las certificaciones en el archivo de la Dirección General...” </w:t>
      </w:r>
    </w:p>
    <w:p w:rsidR="00C175EA" w:rsidRPr="00C175EA" w:rsidRDefault="00C175EA" w:rsidP="00C175EA">
      <w:pPr>
        <w:pStyle w:val="Prrafodelista"/>
        <w:spacing w:after="0" w:line="360" w:lineRule="auto"/>
        <w:ind w:left="567"/>
        <w:jc w:val="both"/>
        <w:rPr>
          <w:rFonts w:ascii="Palatino Linotype" w:hAnsi="Palatino Linotype" w:cs="Arial"/>
          <w:i/>
          <w:sz w:val="24"/>
          <w:szCs w:val="24"/>
        </w:rPr>
      </w:pPr>
    </w:p>
    <w:p w:rsidR="00746812" w:rsidRPr="0095525C" w:rsidRDefault="0046491C" w:rsidP="00EC7A17">
      <w:pPr>
        <w:pStyle w:val="Prrafodelista"/>
        <w:numPr>
          <w:ilvl w:val="0"/>
          <w:numId w:val="1"/>
        </w:numPr>
        <w:spacing w:after="0" w:line="360" w:lineRule="auto"/>
        <w:ind w:left="0" w:right="49" w:firstLine="0"/>
        <w:jc w:val="both"/>
        <w:rPr>
          <w:rFonts w:ascii="Palatino Linotype" w:hAnsi="Palatino Linotype" w:cs="Arial"/>
          <w:i/>
          <w:sz w:val="24"/>
          <w:szCs w:val="24"/>
          <w:lang w:val="es-ES"/>
        </w:rPr>
      </w:pPr>
      <w:r w:rsidRPr="0095525C">
        <w:rPr>
          <w:rFonts w:ascii="Palatino Linotype" w:hAnsi="Palatino Linotype" w:cs="Arial"/>
          <w:sz w:val="24"/>
          <w:szCs w:val="24"/>
        </w:rPr>
        <w:t xml:space="preserve">En ese </w:t>
      </w:r>
      <w:r w:rsidRPr="0095525C">
        <w:rPr>
          <w:rFonts w:ascii="Palatino Linotype" w:eastAsia="Times New Roman" w:hAnsi="Palatino Linotype" w:cs="Times New Roman"/>
          <w:color w:val="000000"/>
          <w:sz w:val="24"/>
          <w:szCs w:val="24"/>
          <w:lang w:val="es-ES" w:eastAsia="es-ES"/>
        </w:rPr>
        <w:t>sentido</w:t>
      </w:r>
      <w:r w:rsidRPr="0095525C">
        <w:rPr>
          <w:rFonts w:ascii="Palatino Linotype" w:hAnsi="Palatino Linotype" w:cs="Arial"/>
          <w:sz w:val="24"/>
          <w:szCs w:val="24"/>
        </w:rPr>
        <w:t xml:space="preserve">, </w:t>
      </w:r>
      <w:r w:rsidR="00AE4797" w:rsidRPr="0095525C">
        <w:rPr>
          <w:rFonts w:ascii="Palatino Linotype" w:hAnsi="Palatino Linotype" w:cs="Arial"/>
          <w:sz w:val="24"/>
          <w:szCs w:val="24"/>
        </w:rPr>
        <w:t>el particular se</w:t>
      </w:r>
      <w:r w:rsidR="0095525C" w:rsidRPr="0095525C">
        <w:rPr>
          <w:rFonts w:ascii="Palatino Linotype" w:hAnsi="Palatino Linotype" w:cs="Arial"/>
          <w:sz w:val="24"/>
          <w:szCs w:val="24"/>
        </w:rPr>
        <w:t>ñala como acto impugnado: “</w:t>
      </w:r>
      <w:r w:rsidR="00C175EA">
        <w:rPr>
          <w:rFonts w:ascii="Palatino Linotype" w:hAnsi="Palatino Linotype" w:cs="Arial"/>
          <w:i/>
          <w:sz w:val="24"/>
          <w:szCs w:val="24"/>
        </w:rPr>
        <w:t xml:space="preserve">La entrega de la información es incompleta…” </w:t>
      </w:r>
      <w:r w:rsidR="00CA5E54" w:rsidRPr="00CA5E54">
        <w:rPr>
          <w:rFonts w:ascii="Palatino Linotype" w:hAnsi="Palatino Linotype" w:cs="Arial"/>
          <w:i/>
          <w:sz w:val="24"/>
          <w:szCs w:val="24"/>
        </w:rPr>
        <w:t>(Sic.)</w:t>
      </w:r>
    </w:p>
    <w:p w:rsidR="00746812" w:rsidRDefault="00746812" w:rsidP="00EC7A17">
      <w:pPr>
        <w:pStyle w:val="Prrafodelista"/>
        <w:spacing w:after="0" w:line="360" w:lineRule="auto"/>
        <w:ind w:left="0" w:right="902"/>
        <w:jc w:val="both"/>
        <w:rPr>
          <w:rFonts w:ascii="Palatino Linotype" w:hAnsi="Palatino Linotype" w:cs="Arial"/>
          <w:i/>
          <w:sz w:val="24"/>
          <w:szCs w:val="24"/>
          <w:lang w:val="es-ES"/>
        </w:rPr>
      </w:pPr>
    </w:p>
    <w:p w:rsidR="0046491C" w:rsidRPr="00C175EA" w:rsidRDefault="0046491C" w:rsidP="00EC7A17">
      <w:pPr>
        <w:pStyle w:val="Prrafodelista"/>
        <w:numPr>
          <w:ilvl w:val="0"/>
          <w:numId w:val="1"/>
        </w:numPr>
        <w:spacing w:after="0" w:line="360" w:lineRule="auto"/>
        <w:ind w:left="0" w:right="49" w:firstLine="0"/>
        <w:jc w:val="both"/>
        <w:rPr>
          <w:rFonts w:ascii="Palatino Linotype" w:hAnsi="Palatino Linotype" w:cs="Arial"/>
          <w:i/>
          <w:sz w:val="24"/>
          <w:szCs w:val="24"/>
          <w:lang w:val="es-ES"/>
        </w:rPr>
      </w:pPr>
      <w:r w:rsidRPr="00746812">
        <w:rPr>
          <w:rFonts w:ascii="Palatino Linotype" w:hAnsi="Palatino Linotype" w:cs="Arial"/>
          <w:sz w:val="24"/>
          <w:szCs w:val="24"/>
        </w:rPr>
        <w:lastRenderedPageBreak/>
        <w:t xml:space="preserve">Si bien es de </w:t>
      </w:r>
      <w:r w:rsidRPr="0095525C">
        <w:rPr>
          <w:rFonts w:ascii="Palatino Linotype" w:eastAsia="Times New Roman" w:hAnsi="Palatino Linotype" w:cs="Times New Roman"/>
          <w:color w:val="000000"/>
          <w:sz w:val="24"/>
          <w:szCs w:val="24"/>
          <w:lang w:val="es-ES" w:eastAsia="es-ES"/>
        </w:rPr>
        <w:t>destacar</w:t>
      </w:r>
      <w:r w:rsidRPr="00746812">
        <w:rPr>
          <w:rFonts w:ascii="Palatino Linotype" w:hAnsi="Palatino Linotype" w:cs="Arial"/>
          <w:sz w:val="24"/>
          <w:szCs w:val="24"/>
        </w:rPr>
        <w:t xml:space="preserve">, </w:t>
      </w:r>
      <w:r w:rsidR="00AE4797" w:rsidRPr="00746812">
        <w:rPr>
          <w:rFonts w:ascii="Palatino Linotype" w:hAnsi="Palatino Linotype" w:cs="Arial"/>
          <w:sz w:val="24"/>
          <w:szCs w:val="24"/>
        </w:rPr>
        <w:t xml:space="preserve">que el </w:t>
      </w:r>
      <w:r w:rsidR="00AE4797" w:rsidRPr="00C175EA">
        <w:rPr>
          <w:rFonts w:ascii="Palatino Linotype" w:hAnsi="Palatino Linotype" w:cs="Arial"/>
          <w:b/>
          <w:sz w:val="24"/>
          <w:szCs w:val="24"/>
        </w:rPr>
        <w:t>Sujeto Obligado</w:t>
      </w:r>
      <w:r w:rsidR="00AE4797" w:rsidRPr="00746812">
        <w:rPr>
          <w:rFonts w:ascii="Palatino Linotype" w:hAnsi="Palatino Linotype" w:cs="Arial"/>
          <w:sz w:val="24"/>
          <w:szCs w:val="24"/>
        </w:rPr>
        <w:t xml:space="preserve"> atiende cada punto de la solicitud, sin embargo, </w:t>
      </w:r>
      <w:r w:rsidRPr="00746812">
        <w:rPr>
          <w:rFonts w:ascii="Palatino Linotype" w:hAnsi="Palatino Linotype" w:cs="Arial"/>
          <w:sz w:val="24"/>
          <w:szCs w:val="24"/>
        </w:rPr>
        <w:t>en el estudio y desarr</w:t>
      </w:r>
      <w:r w:rsidR="00117F40">
        <w:rPr>
          <w:rFonts w:ascii="Palatino Linotype" w:hAnsi="Palatino Linotype" w:cs="Arial"/>
          <w:sz w:val="24"/>
          <w:szCs w:val="24"/>
        </w:rPr>
        <w:t>ollo de dicha resolución la ponencia señaló que en el certificado de estudios y el diploma de estudios, se dejaron visibles la fotografía del servidor público de quien fue solicitada informaci</w:t>
      </w:r>
      <w:r w:rsidR="00F61E76">
        <w:rPr>
          <w:rFonts w:ascii="Palatino Linotype" w:hAnsi="Palatino Linotype" w:cs="Arial"/>
          <w:sz w:val="24"/>
          <w:szCs w:val="24"/>
        </w:rPr>
        <w:t>ón, omitiendo testar la misma y consecuentemente emitir el acuerdo e clasificación de la información confidencial correspondiente</w:t>
      </w:r>
      <w:r w:rsidR="00CC4A96">
        <w:rPr>
          <w:rFonts w:ascii="Palatino Linotype" w:hAnsi="Palatino Linotype" w:cs="Arial"/>
          <w:sz w:val="24"/>
          <w:szCs w:val="24"/>
        </w:rPr>
        <w:t xml:space="preserve"> por su Comité de Transparencia, debidamente fundado y motivado con motivo de la versión pública. </w:t>
      </w:r>
    </w:p>
    <w:p w:rsidR="002F7E66" w:rsidRPr="002F7E66" w:rsidRDefault="002F7E66" w:rsidP="00EC7A17">
      <w:pPr>
        <w:pStyle w:val="Prrafodelista"/>
        <w:spacing w:after="0" w:line="360" w:lineRule="auto"/>
        <w:ind w:left="0"/>
        <w:rPr>
          <w:rFonts w:ascii="Palatino Linotype" w:hAnsi="Palatino Linotype"/>
          <w:sz w:val="24"/>
          <w:szCs w:val="24"/>
        </w:rPr>
      </w:pPr>
    </w:p>
    <w:p w:rsidR="00A702B1" w:rsidRDefault="00117F40" w:rsidP="00EC7A17">
      <w:pPr>
        <w:pStyle w:val="Prrafodelista"/>
        <w:numPr>
          <w:ilvl w:val="0"/>
          <w:numId w:val="1"/>
        </w:numPr>
        <w:spacing w:after="0" w:line="360" w:lineRule="auto"/>
        <w:ind w:left="0" w:right="49" w:firstLine="0"/>
        <w:jc w:val="both"/>
        <w:rPr>
          <w:rFonts w:ascii="Palatino Linotype" w:hAnsi="Palatino Linotype" w:cs="Arial"/>
          <w:sz w:val="24"/>
          <w:szCs w:val="24"/>
        </w:rPr>
      </w:pPr>
      <w:r>
        <w:rPr>
          <w:rFonts w:ascii="Palatino Linotype" w:hAnsi="Palatino Linotype"/>
          <w:sz w:val="24"/>
          <w:szCs w:val="24"/>
        </w:rPr>
        <w:t xml:space="preserve">Es por ello que con lo que respecta a la </w:t>
      </w:r>
      <w:r w:rsidR="00A702B1" w:rsidRPr="00A702B1">
        <w:rPr>
          <w:rFonts w:ascii="Palatino Linotype" w:hAnsi="Palatino Linotype" w:cs="Arial"/>
          <w:sz w:val="24"/>
          <w:szCs w:val="24"/>
        </w:rPr>
        <w:t xml:space="preserve">versión pública </w:t>
      </w:r>
      <w:r>
        <w:rPr>
          <w:rFonts w:ascii="Palatino Linotype" w:hAnsi="Palatino Linotype" w:cs="Arial"/>
          <w:sz w:val="24"/>
          <w:szCs w:val="24"/>
        </w:rPr>
        <w:t>de dicho documento</w:t>
      </w:r>
      <w:r w:rsidR="00A702B1" w:rsidRPr="00A702B1">
        <w:rPr>
          <w:rFonts w:ascii="Palatino Linotype" w:hAnsi="Palatino Linotype" w:cs="Arial"/>
          <w:sz w:val="24"/>
          <w:szCs w:val="24"/>
        </w:rPr>
        <w:t xml:space="preserve">, difiero respecto a ordenar el acuerdo de clasificación de los datos personales por parte del Comité de </w:t>
      </w:r>
      <w:r w:rsidR="00CC4A96">
        <w:rPr>
          <w:rFonts w:ascii="Palatino Linotype" w:hAnsi="Palatino Linotype" w:cs="Arial"/>
          <w:sz w:val="24"/>
          <w:szCs w:val="24"/>
        </w:rPr>
        <w:t xml:space="preserve">Transparencia </w:t>
      </w:r>
      <w:r w:rsidR="00A702B1" w:rsidRPr="00A702B1">
        <w:rPr>
          <w:rFonts w:ascii="Palatino Linotype" w:hAnsi="Palatino Linotype" w:cs="Arial"/>
          <w:sz w:val="24"/>
          <w:szCs w:val="24"/>
        </w:rPr>
        <w:t xml:space="preserve">para suprimir entre otros datos la fotografía. </w:t>
      </w:r>
    </w:p>
    <w:p w:rsidR="00CC4A96" w:rsidRPr="00A702B1" w:rsidRDefault="00CC4A96" w:rsidP="00CC4A96">
      <w:pPr>
        <w:pStyle w:val="Prrafodelista"/>
        <w:spacing w:after="0" w:line="360" w:lineRule="auto"/>
        <w:ind w:left="0" w:right="49"/>
        <w:jc w:val="both"/>
        <w:rPr>
          <w:rFonts w:ascii="Palatino Linotype" w:hAnsi="Palatino Linotype" w:cs="Arial"/>
          <w:sz w:val="24"/>
          <w:szCs w:val="24"/>
        </w:rPr>
      </w:pPr>
    </w:p>
    <w:p w:rsidR="00EA30C9" w:rsidRPr="00AA372F" w:rsidRDefault="00EA30C9" w:rsidP="00EC7A17">
      <w:pPr>
        <w:keepNext/>
        <w:keepLines/>
        <w:spacing w:after="0" w:line="360" w:lineRule="auto"/>
        <w:outlineLvl w:val="0"/>
        <w:rPr>
          <w:rFonts w:ascii="Palatino Linotype" w:eastAsiaTheme="majorEastAsia" w:hAnsi="Palatino Linotype" w:cs="Arial"/>
          <w:b/>
          <w:sz w:val="24"/>
          <w:szCs w:val="24"/>
        </w:rPr>
      </w:pPr>
      <w:bookmarkStart w:id="2" w:name="_Toc459214619"/>
      <w:bookmarkStart w:id="3" w:name="_Toc476143567"/>
      <w:bookmarkStart w:id="4" w:name="_Toc2684304"/>
      <w:r w:rsidRPr="00AA372F">
        <w:rPr>
          <w:rFonts w:ascii="Palatino Linotype" w:eastAsiaTheme="majorEastAsia" w:hAnsi="Palatino Linotype" w:cstheme="majorBidi"/>
          <w:b/>
          <w:sz w:val="24"/>
          <w:szCs w:val="24"/>
        </w:rPr>
        <w:t>II. La naturaleza de la función pública que se desempeña</w:t>
      </w:r>
      <w:r w:rsidRPr="00AA372F">
        <w:rPr>
          <w:rFonts w:ascii="Palatino Linotype" w:eastAsiaTheme="majorEastAsia" w:hAnsi="Palatino Linotype" w:cs="Arial"/>
          <w:b/>
          <w:sz w:val="24"/>
          <w:szCs w:val="24"/>
        </w:rPr>
        <w:t>.</w:t>
      </w:r>
      <w:bookmarkEnd w:id="2"/>
      <w:bookmarkEnd w:id="3"/>
      <w:bookmarkEnd w:id="4"/>
    </w:p>
    <w:p w:rsidR="005D7F06" w:rsidRDefault="005D7F06" w:rsidP="00EC7A17">
      <w:pPr>
        <w:autoSpaceDE w:val="0"/>
        <w:autoSpaceDN w:val="0"/>
        <w:adjustRightInd w:val="0"/>
        <w:spacing w:after="0" w:line="360" w:lineRule="auto"/>
        <w:contextualSpacing/>
        <w:jc w:val="both"/>
        <w:rPr>
          <w:rFonts w:ascii="Palatino Linotype" w:hAnsi="Palatino Linotype" w:cs="Arial"/>
          <w:sz w:val="24"/>
          <w:szCs w:val="24"/>
        </w:rPr>
      </w:pPr>
    </w:p>
    <w:p w:rsidR="005D7F06" w:rsidRPr="009818AA" w:rsidRDefault="00EA30C9" w:rsidP="006B5ECB">
      <w:pPr>
        <w:pStyle w:val="Prrafodelista"/>
        <w:numPr>
          <w:ilvl w:val="0"/>
          <w:numId w:val="1"/>
        </w:numPr>
        <w:autoSpaceDE w:val="0"/>
        <w:autoSpaceDN w:val="0"/>
        <w:adjustRightInd w:val="0"/>
        <w:spacing w:after="0" w:line="360" w:lineRule="auto"/>
        <w:ind w:left="0" w:firstLine="0"/>
        <w:jc w:val="both"/>
        <w:rPr>
          <w:rFonts w:ascii="Palatino Linotype" w:eastAsia="Times New Roman" w:hAnsi="Palatino Linotype" w:cs="Arial"/>
          <w:b/>
          <w:bCs/>
          <w:sz w:val="24"/>
          <w:szCs w:val="24"/>
          <w:lang w:eastAsia="es-MX"/>
        </w:rPr>
      </w:pPr>
      <w:r w:rsidRPr="00CC4A96">
        <w:rPr>
          <w:rFonts w:ascii="Palatino Linotype" w:hAnsi="Palatino Linotype" w:cs="Arial"/>
          <w:sz w:val="24"/>
          <w:szCs w:val="24"/>
        </w:rPr>
        <w:t xml:space="preserve">En el caso en estudio, </w:t>
      </w:r>
      <w:r w:rsidR="00CC4A96" w:rsidRPr="00CC4A96">
        <w:rPr>
          <w:rFonts w:ascii="Palatino Linotype" w:hAnsi="Palatino Linotype"/>
          <w:b/>
        </w:rPr>
        <w:t>el particular</w:t>
      </w:r>
      <w:r w:rsidRPr="00CC4A96">
        <w:rPr>
          <w:rFonts w:ascii="Palatino Linotype" w:eastAsia="Times New Roman" w:hAnsi="Palatino Linotype" w:cs="Times New Roman"/>
          <w:b/>
          <w:sz w:val="24"/>
          <w:szCs w:val="24"/>
          <w:lang w:eastAsia="es-ES"/>
        </w:rPr>
        <w:t xml:space="preserve"> </w:t>
      </w:r>
      <w:r w:rsidRPr="00CC4A96">
        <w:rPr>
          <w:rFonts w:ascii="Palatino Linotype" w:eastAsia="Times New Roman" w:hAnsi="Palatino Linotype" w:cs="Times New Roman"/>
          <w:sz w:val="24"/>
          <w:szCs w:val="24"/>
          <w:lang w:eastAsia="es-ES"/>
        </w:rPr>
        <w:t xml:space="preserve">desea obtener </w:t>
      </w:r>
      <w:r w:rsidR="009818AA">
        <w:rPr>
          <w:rFonts w:ascii="Palatino Linotype" w:hAnsi="Palatino Linotype"/>
          <w:bCs/>
          <w:color w:val="000000"/>
          <w:sz w:val="24"/>
          <w:szCs w:val="24"/>
        </w:rPr>
        <w:t xml:space="preserve">el documento que acredite el grado de maestro de Gabriel Valdez, quien ostenta cargo como servidor público en el Sistema Municipal para el Desarrollo Integral de la Familia de </w:t>
      </w:r>
      <w:proofErr w:type="spellStart"/>
      <w:r w:rsidR="009818AA">
        <w:rPr>
          <w:rFonts w:ascii="Palatino Linotype" w:hAnsi="Palatino Linotype"/>
          <w:bCs/>
          <w:color w:val="000000"/>
          <w:sz w:val="24"/>
          <w:szCs w:val="24"/>
        </w:rPr>
        <w:t>Zinacantepec</w:t>
      </w:r>
      <w:proofErr w:type="spellEnd"/>
      <w:r w:rsidR="009818AA">
        <w:rPr>
          <w:rFonts w:ascii="Palatino Linotype" w:hAnsi="Palatino Linotype"/>
          <w:bCs/>
          <w:color w:val="000000"/>
          <w:sz w:val="24"/>
          <w:szCs w:val="24"/>
        </w:rPr>
        <w:t xml:space="preserve">, y que por consiguiente, esta documentación, está en posesión del referido </w:t>
      </w:r>
      <w:r w:rsidR="009818AA" w:rsidRPr="009818AA">
        <w:rPr>
          <w:rFonts w:ascii="Palatino Linotype" w:hAnsi="Palatino Linotype"/>
          <w:b/>
          <w:bCs/>
          <w:color w:val="000000"/>
          <w:sz w:val="24"/>
          <w:szCs w:val="24"/>
        </w:rPr>
        <w:t xml:space="preserve">Sujeto Obligado. </w:t>
      </w:r>
    </w:p>
    <w:p w:rsidR="009818AA" w:rsidRPr="009818AA" w:rsidRDefault="009818AA" w:rsidP="009818AA">
      <w:pPr>
        <w:pStyle w:val="Prrafodelista"/>
        <w:autoSpaceDE w:val="0"/>
        <w:autoSpaceDN w:val="0"/>
        <w:adjustRightInd w:val="0"/>
        <w:spacing w:after="0" w:line="360" w:lineRule="auto"/>
        <w:ind w:left="0"/>
        <w:jc w:val="both"/>
        <w:rPr>
          <w:rFonts w:ascii="Palatino Linotype" w:eastAsia="Times New Roman" w:hAnsi="Palatino Linotype" w:cs="Arial"/>
          <w:b/>
          <w:bCs/>
          <w:sz w:val="24"/>
          <w:szCs w:val="24"/>
          <w:lang w:eastAsia="es-MX"/>
        </w:rPr>
      </w:pPr>
    </w:p>
    <w:p w:rsidR="00EA30C9" w:rsidRPr="009818AA" w:rsidRDefault="005D7F06" w:rsidP="00EC7A17">
      <w:pPr>
        <w:pStyle w:val="Prrafodelista"/>
        <w:numPr>
          <w:ilvl w:val="0"/>
          <w:numId w:val="1"/>
        </w:numPr>
        <w:autoSpaceDE w:val="0"/>
        <w:autoSpaceDN w:val="0"/>
        <w:adjustRightInd w:val="0"/>
        <w:spacing w:after="0" w:line="360" w:lineRule="auto"/>
        <w:ind w:left="0" w:firstLine="0"/>
        <w:jc w:val="both"/>
        <w:rPr>
          <w:rFonts w:ascii="Palatino Linotype" w:eastAsia="Times New Roman" w:hAnsi="Palatino Linotype" w:cs="Arial"/>
          <w:bCs/>
          <w:sz w:val="24"/>
          <w:szCs w:val="24"/>
          <w:lang w:eastAsia="es-MX"/>
        </w:rPr>
      </w:pPr>
      <w:r w:rsidRPr="005D7F06">
        <w:rPr>
          <w:rFonts w:ascii="Palatino Linotype" w:hAnsi="Palatino Linotype" w:cs="Arial"/>
          <w:sz w:val="24"/>
          <w:szCs w:val="24"/>
        </w:rPr>
        <w:t>S</w:t>
      </w:r>
      <w:r w:rsidR="009818AA">
        <w:rPr>
          <w:rFonts w:ascii="Palatino Linotype" w:hAnsi="Palatino Linotype" w:cs="Arial"/>
          <w:sz w:val="24"/>
          <w:szCs w:val="24"/>
        </w:rPr>
        <w:t xml:space="preserve">in embargo, en el </w:t>
      </w:r>
      <w:r w:rsidR="00EA30C9" w:rsidRPr="005D7F06">
        <w:rPr>
          <w:rFonts w:ascii="Palatino Linotype" w:hAnsi="Palatino Linotype" w:cs="Arial"/>
          <w:sz w:val="24"/>
          <w:szCs w:val="24"/>
        </w:rPr>
        <w:t xml:space="preserve">considerando Cuarto, </w:t>
      </w:r>
      <w:r w:rsidR="009818AA">
        <w:rPr>
          <w:rFonts w:ascii="Palatino Linotype" w:hAnsi="Palatino Linotype" w:cs="Arial"/>
          <w:sz w:val="24"/>
          <w:szCs w:val="24"/>
        </w:rPr>
        <w:t>en</w:t>
      </w:r>
      <w:r w:rsidR="00EA30C9" w:rsidRPr="005D7F06">
        <w:rPr>
          <w:rFonts w:ascii="Palatino Linotype" w:hAnsi="Palatino Linotype" w:cs="Arial"/>
          <w:sz w:val="24"/>
          <w:szCs w:val="24"/>
        </w:rPr>
        <w:t xml:space="preserve"> donde se determina ordenar en </w:t>
      </w:r>
      <w:r w:rsidR="00EA30C9" w:rsidRPr="005D7F06">
        <w:rPr>
          <w:rFonts w:ascii="Palatino Linotype" w:hAnsi="Palatino Linotype" w:cs="Arial"/>
          <w:b/>
          <w:sz w:val="24"/>
          <w:szCs w:val="24"/>
          <w:u w:val="single"/>
        </w:rPr>
        <w:t>versión pública el documento</w:t>
      </w:r>
      <w:r w:rsidR="00EA30C9" w:rsidRPr="005D7F06">
        <w:rPr>
          <w:rFonts w:ascii="Palatino Linotype" w:hAnsi="Palatino Linotype" w:cs="Arial"/>
          <w:sz w:val="24"/>
          <w:szCs w:val="24"/>
        </w:rPr>
        <w:t xml:space="preserve"> en donde conste lo requerido por el solicitante, </w:t>
      </w:r>
      <w:r w:rsidR="00EA30C9" w:rsidRPr="005D7F06">
        <w:rPr>
          <w:rFonts w:ascii="Palatino Linotype" w:hAnsi="Palatino Linotype" w:cs="Arial"/>
          <w:sz w:val="24"/>
          <w:szCs w:val="24"/>
        </w:rPr>
        <w:lastRenderedPageBreak/>
        <w:t xml:space="preserve">difiero respecto a ordenar el acuerdo de clasificación de los datos personales por parte del Comité de Información para suprimir entre otros datos la </w:t>
      </w:r>
      <w:r w:rsidR="00EA30C9" w:rsidRPr="005D7F06">
        <w:rPr>
          <w:rFonts w:ascii="Palatino Linotype" w:hAnsi="Palatino Linotype" w:cs="Arial"/>
          <w:b/>
          <w:sz w:val="24"/>
          <w:szCs w:val="24"/>
          <w:u w:val="single"/>
        </w:rPr>
        <w:t>fotografía.</w:t>
      </w:r>
    </w:p>
    <w:p w:rsidR="009818AA" w:rsidRPr="005D7F06" w:rsidRDefault="009818AA" w:rsidP="009818AA">
      <w:pPr>
        <w:pStyle w:val="Prrafodelista"/>
        <w:autoSpaceDE w:val="0"/>
        <w:autoSpaceDN w:val="0"/>
        <w:adjustRightInd w:val="0"/>
        <w:spacing w:after="0" w:line="360" w:lineRule="auto"/>
        <w:ind w:left="0"/>
        <w:jc w:val="both"/>
        <w:rPr>
          <w:rFonts w:ascii="Palatino Linotype" w:eastAsia="Times New Roman" w:hAnsi="Palatino Linotype" w:cs="Arial"/>
          <w:bCs/>
          <w:sz w:val="24"/>
          <w:szCs w:val="24"/>
          <w:lang w:eastAsia="es-MX"/>
        </w:rPr>
      </w:pPr>
    </w:p>
    <w:p w:rsidR="00EA30C9" w:rsidRPr="00AA372F" w:rsidRDefault="00EA30C9" w:rsidP="00EC7A17">
      <w:pPr>
        <w:keepNext/>
        <w:keepLines/>
        <w:spacing w:after="0" w:line="360" w:lineRule="auto"/>
        <w:outlineLvl w:val="0"/>
        <w:rPr>
          <w:rFonts w:ascii="Palatino Linotype" w:hAnsi="Palatino Linotype" w:cs="Arial"/>
          <w:b/>
          <w:color w:val="000000" w:themeColor="text1"/>
          <w:sz w:val="24"/>
          <w:szCs w:val="24"/>
        </w:rPr>
      </w:pPr>
      <w:bookmarkStart w:id="5" w:name="_Toc459214620"/>
      <w:bookmarkStart w:id="6" w:name="_Toc476143568"/>
      <w:bookmarkStart w:id="7" w:name="_Toc2684305"/>
      <w:r w:rsidRPr="00A702B1">
        <w:rPr>
          <w:rFonts w:ascii="Palatino Linotype" w:eastAsiaTheme="majorEastAsia" w:hAnsi="Palatino Linotype" w:cstheme="majorBidi"/>
          <w:b/>
          <w:sz w:val="24"/>
          <w:szCs w:val="24"/>
        </w:rPr>
        <w:t>III</w:t>
      </w:r>
      <w:r w:rsidRPr="00AA372F">
        <w:rPr>
          <w:rFonts w:ascii="Palatino Linotype" w:hAnsi="Palatino Linotype"/>
          <w:b/>
          <w:color w:val="000000" w:themeColor="text1"/>
          <w:sz w:val="24"/>
          <w:szCs w:val="24"/>
        </w:rPr>
        <w:t>. Acceso a la información versus protección de datos personales</w:t>
      </w:r>
      <w:bookmarkEnd w:id="5"/>
      <w:r w:rsidRPr="00AA372F">
        <w:rPr>
          <w:rFonts w:ascii="Palatino Linotype" w:hAnsi="Palatino Linotype" w:cs="Arial"/>
          <w:b/>
          <w:color w:val="000000" w:themeColor="text1"/>
          <w:sz w:val="24"/>
          <w:szCs w:val="24"/>
        </w:rPr>
        <w:t>.</w:t>
      </w:r>
      <w:bookmarkEnd w:id="6"/>
      <w:bookmarkEnd w:id="7"/>
    </w:p>
    <w:p w:rsidR="00EA30C9" w:rsidRPr="00AA372F" w:rsidRDefault="00EA30C9" w:rsidP="00EC7A17">
      <w:pPr>
        <w:spacing w:after="0" w:line="360" w:lineRule="auto"/>
        <w:contextualSpacing/>
        <w:jc w:val="both"/>
        <w:rPr>
          <w:rFonts w:ascii="Palatino Linotype" w:hAnsi="Palatino Linotype" w:cs="Arial"/>
          <w:b/>
          <w:sz w:val="24"/>
          <w:szCs w:val="24"/>
        </w:rPr>
      </w:pPr>
    </w:p>
    <w:p w:rsidR="00EA30C9" w:rsidRPr="005D7F06"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5D7F06">
        <w:rPr>
          <w:rFonts w:ascii="Palatino Linotype" w:hAnsi="Palatino Linotype" w:cs="Arial"/>
          <w:sz w:val="24"/>
          <w:szCs w:val="24"/>
        </w:rPr>
        <w:t xml:space="preserve">Para quienes integramos a la sociedad y podamos participar en el debate público, manifestar las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rsidR="00EA30C9" w:rsidRPr="00AA372F" w:rsidRDefault="00EA30C9" w:rsidP="00EC7A17">
      <w:pPr>
        <w:spacing w:after="0" w:line="360" w:lineRule="auto"/>
        <w:contextualSpacing/>
        <w:jc w:val="both"/>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El acceder al certificado, título profesional, cédula profesional o cualquier otro documento que, acredite experiencia académica o profesional,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w:t>
      </w:r>
      <w:r w:rsidRPr="00AA372F">
        <w:rPr>
          <w:rFonts w:ascii="Palatino Linotype" w:hAnsi="Palatino Linotype" w:cs="Arial"/>
          <w:sz w:val="24"/>
          <w:szCs w:val="24"/>
        </w:rPr>
        <w:lastRenderedPageBreak/>
        <w:t>de gobierno. Como se ha señalado antes, la concurrencia de todos los elementos que integran dichos documentos permiten apreciar en todo su valor el contenido de los documentos públicos requeridos.</w:t>
      </w:r>
    </w:p>
    <w:p w:rsidR="00EA30C9" w:rsidRPr="00AA372F" w:rsidRDefault="00EA30C9" w:rsidP="00EC7A17">
      <w:pPr>
        <w:spacing w:after="0" w:line="360" w:lineRule="auto"/>
        <w:contextualSpacing/>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w:t>
      </w:r>
    </w:p>
    <w:p w:rsidR="00EA30C9" w:rsidRPr="00AA372F" w:rsidRDefault="00EA30C9" w:rsidP="00EC7A17">
      <w:pPr>
        <w:spacing w:after="0" w:line="360" w:lineRule="auto"/>
        <w:contextualSpacing/>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w:t>
      </w:r>
      <w:r w:rsidRPr="00AA372F">
        <w:rPr>
          <w:rFonts w:ascii="Palatino Linotype" w:hAnsi="Palatino Linotype" w:cs="Arial"/>
          <w:sz w:val="24"/>
          <w:szCs w:val="24"/>
        </w:rPr>
        <w:lastRenderedPageBreak/>
        <w:t>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EA30C9" w:rsidRPr="00AA372F" w:rsidRDefault="00EA30C9" w:rsidP="00EC7A17">
      <w:pPr>
        <w:spacing w:after="0" w:line="360" w:lineRule="auto"/>
        <w:contextualSpacing/>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En estos casos, el intérprete externo y los </w:t>
      </w:r>
      <w:proofErr w:type="spellStart"/>
      <w:r w:rsidRPr="00AA372F">
        <w:rPr>
          <w:rFonts w:ascii="Palatino Linotype" w:hAnsi="Palatino Linotype" w:cs="Arial"/>
          <w:i/>
          <w:sz w:val="24"/>
          <w:szCs w:val="24"/>
        </w:rPr>
        <w:t>ius</w:t>
      </w:r>
      <w:proofErr w:type="spellEnd"/>
      <w:r w:rsidRPr="00AA372F">
        <w:rPr>
          <w:rFonts w:ascii="Palatino Linotype" w:hAnsi="Palatino Linotype" w:cs="Arial"/>
          <w:sz w:val="24"/>
          <w:szCs w:val="24"/>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EA30C9" w:rsidRPr="00AA372F" w:rsidRDefault="00EA30C9" w:rsidP="00EC7A17">
      <w:pPr>
        <w:spacing w:after="0" w:line="360" w:lineRule="auto"/>
        <w:jc w:val="both"/>
        <w:rPr>
          <w:rFonts w:ascii="Palatino Linotype" w:hAnsi="Palatino Linotype" w:cs="Arial"/>
          <w:sz w:val="24"/>
          <w:szCs w:val="24"/>
        </w:rPr>
      </w:pPr>
    </w:p>
    <w:p w:rsidR="00EA30C9" w:rsidRPr="00AA372F" w:rsidRDefault="005D7F06" w:rsidP="00EC7A17">
      <w:pPr>
        <w:keepNext/>
        <w:keepLines/>
        <w:spacing w:after="0" w:line="360" w:lineRule="auto"/>
        <w:outlineLvl w:val="0"/>
        <w:rPr>
          <w:rFonts w:ascii="Palatino Linotype" w:eastAsiaTheme="majorEastAsia" w:hAnsi="Palatino Linotype" w:cstheme="majorBidi"/>
          <w:b/>
          <w:sz w:val="24"/>
          <w:szCs w:val="32"/>
        </w:rPr>
      </w:pPr>
      <w:bookmarkStart w:id="8" w:name="_Toc459214621"/>
      <w:bookmarkStart w:id="9" w:name="_Toc476143569"/>
      <w:bookmarkStart w:id="10" w:name="_Toc2684306"/>
      <w:r>
        <w:rPr>
          <w:rFonts w:ascii="Palatino Linotype" w:eastAsiaTheme="majorEastAsia" w:hAnsi="Palatino Linotype" w:cstheme="majorBidi"/>
          <w:b/>
          <w:sz w:val="24"/>
          <w:szCs w:val="32"/>
        </w:rPr>
        <w:t xml:space="preserve">a) </w:t>
      </w:r>
      <w:r w:rsidR="00EA30C9" w:rsidRPr="00AA372F">
        <w:rPr>
          <w:rFonts w:ascii="Palatino Linotype" w:eastAsiaTheme="majorEastAsia" w:hAnsi="Palatino Linotype" w:cstheme="majorBidi"/>
          <w:b/>
          <w:sz w:val="24"/>
          <w:szCs w:val="32"/>
        </w:rPr>
        <w:t>Juicio de idoneidad.</w:t>
      </w:r>
      <w:bookmarkEnd w:id="8"/>
      <w:bookmarkEnd w:id="9"/>
      <w:bookmarkEnd w:id="10"/>
    </w:p>
    <w:p w:rsidR="00EA30C9" w:rsidRPr="00AA372F" w:rsidRDefault="00EA30C9" w:rsidP="00EC7A17">
      <w:pPr>
        <w:spacing w:after="0" w:line="360" w:lineRule="auto"/>
      </w:pPr>
    </w:p>
    <w:p w:rsidR="005D7F06"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En el presente asunto, el derecho de acceso a la información se plantea a través de la solicitud del particular para obtener </w:t>
      </w:r>
      <w:r w:rsidR="005D7F06" w:rsidRPr="005D7F06">
        <w:rPr>
          <w:rFonts w:ascii="Palatino Linotype" w:hAnsi="Palatino Linotype"/>
          <w:bCs/>
          <w:color w:val="000000"/>
          <w:sz w:val="24"/>
          <w:szCs w:val="24"/>
        </w:rPr>
        <w:t>copias del Título Profesional del Secretario de Finanzas, del Subsecretario de Planeación y Presupuesto, del Director General de Planeación y Gasto Público, del Director General de Inversión, de los Directores</w:t>
      </w:r>
      <w:r w:rsidR="005D7F06" w:rsidRPr="005D7F06">
        <w:rPr>
          <w:rFonts w:ascii="Palatino Linotype" w:hAnsi="Palatino Linotype" w:cs="Arial"/>
          <w:sz w:val="24"/>
          <w:szCs w:val="24"/>
        </w:rPr>
        <w:t xml:space="preserve"> adscritos a la Subsecretaria  y del Jefe de la Unidad de Normatividad</w:t>
      </w:r>
      <w:r w:rsidRPr="00AA372F">
        <w:rPr>
          <w:rFonts w:ascii="Palatino Linotype" w:hAnsi="Palatino Linotype" w:cs="Arial"/>
          <w:sz w:val="24"/>
          <w:szCs w:val="24"/>
        </w:rPr>
        <w:t xml:space="preserve">, dichos documentos se integran por una serie de elementos que se han descrito antes, cuya concurrencia simultánea permite acreditar tanto la ostentación del grado como la antigüedad del mismo y la identidad del titular de la patente, la ausencia de </w:t>
      </w:r>
      <w:r w:rsidRPr="00AA372F">
        <w:rPr>
          <w:rFonts w:ascii="Palatino Linotype" w:hAnsi="Palatino Linotype" w:cs="Arial"/>
          <w:sz w:val="24"/>
          <w:szCs w:val="24"/>
        </w:rPr>
        <w:lastRenderedPageBreak/>
        <w:t xml:space="preserve">cualquiera de los elementos dificulta que el documento cumpla con el propósito para el cual fue expedido. </w:t>
      </w:r>
    </w:p>
    <w:p w:rsidR="005D7F06" w:rsidRDefault="005D7F06" w:rsidP="00EC7A17">
      <w:pPr>
        <w:pStyle w:val="Prrafodelista"/>
        <w:spacing w:after="0" w:line="360" w:lineRule="auto"/>
        <w:ind w:left="0"/>
        <w:jc w:val="both"/>
        <w:rPr>
          <w:rFonts w:ascii="Palatino Linotype" w:hAnsi="Palatino Linotype" w:cs="Arial"/>
          <w:sz w:val="24"/>
          <w:szCs w:val="24"/>
        </w:rPr>
      </w:pPr>
    </w:p>
    <w:p w:rsidR="00EA30C9"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7049E1" w:rsidRPr="00AA372F" w:rsidRDefault="007049E1" w:rsidP="007049E1">
      <w:pPr>
        <w:pStyle w:val="Prrafodelista"/>
        <w:spacing w:after="0" w:line="360" w:lineRule="auto"/>
        <w:ind w:left="0"/>
        <w:jc w:val="both"/>
        <w:rPr>
          <w:rFonts w:ascii="Palatino Linotype" w:hAnsi="Palatino Linotype" w:cs="Arial"/>
          <w:sz w:val="24"/>
          <w:szCs w:val="24"/>
        </w:rPr>
      </w:pPr>
    </w:p>
    <w:p w:rsidR="00EA30C9" w:rsidRPr="00AA372F" w:rsidRDefault="00EA30C9" w:rsidP="00EC7A17">
      <w:pPr>
        <w:keepNext/>
        <w:keepLines/>
        <w:numPr>
          <w:ilvl w:val="0"/>
          <w:numId w:val="9"/>
        </w:numPr>
        <w:spacing w:after="0" w:line="360" w:lineRule="auto"/>
        <w:ind w:left="0" w:firstLine="0"/>
        <w:outlineLvl w:val="0"/>
        <w:rPr>
          <w:rFonts w:ascii="Palatino Linotype" w:eastAsiaTheme="majorEastAsia" w:hAnsi="Palatino Linotype" w:cstheme="majorBidi"/>
          <w:b/>
          <w:sz w:val="24"/>
          <w:szCs w:val="32"/>
        </w:rPr>
      </w:pPr>
      <w:bookmarkStart w:id="11" w:name="_Toc459214622"/>
      <w:bookmarkStart w:id="12" w:name="_Toc476143570"/>
      <w:bookmarkStart w:id="13" w:name="_Toc2684307"/>
      <w:r w:rsidRPr="00AA372F">
        <w:rPr>
          <w:rFonts w:ascii="Palatino Linotype" w:eastAsiaTheme="majorEastAsia" w:hAnsi="Palatino Linotype" w:cstheme="majorBidi"/>
          <w:b/>
          <w:sz w:val="24"/>
          <w:szCs w:val="32"/>
        </w:rPr>
        <w:t>Juicio de Necesidad.</w:t>
      </w:r>
      <w:bookmarkEnd w:id="11"/>
      <w:bookmarkEnd w:id="12"/>
      <w:bookmarkEnd w:id="13"/>
    </w:p>
    <w:p w:rsidR="00EA30C9" w:rsidRPr="00AA372F" w:rsidRDefault="00EA30C9" w:rsidP="00EC7A17">
      <w:pPr>
        <w:spacing w:after="0" w:line="360" w:lineRule="auto"/>
      </w:pPr>
    </w:p>
    <w:p w:rsidR="00EA30C9"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Para que el particular vea satisfecha su pretensión y su derecho sea respetado, es </w:t>
      </w:r>
      <w:r w:rsidRPr="00AA372F">
        <w:rPr>
          <w:rFonts w:ascii="Palatino Linotype" w:hAnsi="Palatino Linotype" w:cs="Arial"/>
          <w:b/>
          <w:sz w:val="24"/>
          <w:szCs w:val="24"/>
        </w:rPr>
        <w:t>necesario</w:t>
      </w:r>
      <w:r w:rsidRPr="00AA372F">
        <w:rPr>
          <w:rFonts w:ascii="Palatino Linotype" w:hAnsi="Palatino Linotype" w:cs="Arial"/>
          <w:sz w:val="24"/>
          <w:szCs w:val="24"/>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w:t>
      </w:r>
      <w:r w:rsidRPr="00AA372F">
        <w:rPr>
          <w:rFonts w:ascii="Palatino Linotype" w:hAnsi="Palatino Linotype" w:cs="Arial"/>
          <w:sz w:val="24"/>
          <w:szCs w:val="24"/>
        </w:rPr>
        <w:lastRenderedPageBreak/>
        <w:t xml:space="preserve">físicos correspondan con el paso del tiempo entre la expedición del certificado, Título Profesional o la cédula profesional y el momento actual. Impedir el acceso a alguno de los elementos que integran dichos documentos resta todo su valor y utilidad para los propósitos legítimos del particular por lo que resulta </w:t>
      </w:r>
      <w:r w:rsidRPr="00AA372F">
        <w:rPr>
          <w:rFonts w:ascii="Palatino Linotype" w:hAnsi="Palatino Linotype" w:cs="Arial"/>
          <w:b/>
          <w:sz w:val="24"/>
          <w:szCs w:val="24"/>
        </w:rPr>
        <w:t>necesario</w:t>
      </w:r>
      <w:r w:rsidRPr="00AA372F">
        <w:rPr>
          <w:rFonts w:ascii="Palatino Linotype" w:hAnsi="Palatino Linotype" w:cs="Arial"/>
          <w:sz w:val="24"/>
          <w:szCs w:val="24"/>
        </w:rPr>
        <w:t xml:space="preserve"> que se conserven en el documento que será entregado.</w:t>
      </w:r>
    </w:p>
    <w:p w:rsidR="007049E1" w:rsidRPr="00AA372F" w:rsidRDefault="007049E1" w:rsidP="007049E1">
      <w:pPr>
        <w:pStyle w:val="Prrafodelista"/>
        <w:spacing w:after="0" w:line="360" w:lineRule="auto"/>
        <w:ind w:left="0"/>
        <w:jc w:val="both"/>
        <w:rPr>
          <w:rFonts w:ascii="Palatino Linotype" w:hAnsi="Palatino Linotype" w:cs="Arial"/>
          <w:sz w:val="24"/>
          <w:szCs w:val="24"/>
        </w:rPr>
      </w:pPr>
    </w:p>
    <w:p w:rsidR="00EA30C9" w:rsidRPr="00AA372F" w:rsidRDefault="00EA30C9" w:rsidP="00EC7A17">
      <w:pPr>
        <w:keepNext/>
        <w:keepLines/>
        <w:numPr>
          <w:ilvl w:val="0"/>
          <w:numId w:val="9"/>
        </w:numPr>
        <w:spacing w:after="0" w:line="360" w:lineRule="auto"/>
        <w:ind w:left="0" w:firstLine="0"/>
        <w:outlineLvl w:val="0"/>
        <w:rPr>
          <w:rFonts w:ascii="Palatino Linotype" w:eastAsiaTheme="majorEastAsia" w:hAnsi="Palatino Linotype" w:cstheme="majorBidi"/>
          <w:b/>
          <w:sz w:val="24"/>
          <w:szCs w:val="32"/>
        </w:rPr>
      </w:pPr>
      <w:bookmarkStart w:id="14" w:name="_Toc459214623"/>
      <w:bookmarkStart w:id="15" w:name="_Toc476143571"/>
      <w:bookmarkStart w:id="16" w:name="_Toc2684308"/>
      <w:r w:rsidRPr="00AA372F">
        <w:rPr>
          <w:rFonts w:ascii="Palatino Linotype" w:eastAsiaTheme="majorEastAsia" w:hAnsi="Palatino Linotype" w:cstheme="majorBidi"/>
          <w:b/>
          <w:sz w:val="24"/>
          <w:szCs w:val="32"/>
        </w:rPr>
        <w:t>Juicio de estricta proporcionalidad.</w:t>
      </w:r>
      <w:bookmarkEnd w:id="14"/>
      <w:bookmarkEnd w:id="15"/>
      <w:bookmarkEnd w:id="16"/>
    </w:p>
    <w:p w:rsidR="00EA30C9" w:rsidRPr="00AA372F" w:rsidRDefault="00EA30C9" w:rsidP="00EC7A17">
      <w:pPr>
        <w:spacing w:after="0" w:line="360" w:lineRule="auto"/>
        <w:jc w:val="both"/>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o a la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w:t>
      </w:r>
      <w:r w:rsidRPr="00AA372F">
        <w:rPr>
          <w:rFonts w:ascii="Palatino Linotype" w:hAnsi="Palatino Linotype" w:cs="Arial"/>
          <w:sz w:val="24"/>
          <w:szCs w:val="24"/>
        </w:rPr>
        <w:lastRenderedPageBreak/>
        <w:t>calificaciones correspondientes a determinadas materias o algún otro elemento adicional.</w:t>
      </w:r>
    </w:p>
    <w:p w:rsidR="00EA30C9" w:rsidRPr="00AA372F" w:rsidRDefault="00EA30C9" w:rsidP="00EC7A17">
      <w:pPr>
        <w:spacing w:after="0" w:line="360" w:lineRule="auto"/>
        <w:contextualSpacing/>
        <w:jc w:val="both"/>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EA30C9" w:rsidRPr="00AA372F" w:rsidRDefault="00EA30C9" w:rsidP="00EC7A17">
      <w:pPr>
        <w:spacing w:after="0" w:line="360" w:lineRule="auto"/>
        <w:contextualSpacing/>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En consecuencia, es que resulta legítimo ordenar la entrega del o los documentos señalados en el resolutivo cuarto sin que se ordene testar la fotografía, con la finalidad de respetar plenamente el derecho del recurrente </w:t>
      </w:r>
      <w:r w:rsidR="005D7F06">
        <w:rPr>
          <w:rFonts w:ascii="Palatino Linotype" w:hAnsi="Palatino Linotype"/>
          <w:b/>
        </w:rPr>
        <w:t>Juan Pérez Jolote</w:t>
      </w:r>
      <w:r w:rsidRPr="00AA372F">
        <w:rPr>
          <w:rFonts w:ascii="Palatino Linotype" w:eastAsia="Times New Roman" w:hAnsi="Palatino Linotype" w:cs="Arial"/>
          <w:b/>
          <w:sz w:val="24"/>
          <w:szCs w:val="24"/>
          <w:lang w:val="es-ES" w:eastAsia="es-ES"/>
        </w:rPr>
        <w:t xml:space="preserve"> </w:t>
      </w:r>
      <w:r w:rsidRPr="00AA372F">
        <w:rPr>
          <w:rFonts w:ascii="Palatino Linotype" w:hAnsi="Palatino Linotype" w:cs="Arial"/>
          <w:sz w:val="24"/>
          <w:szCs w:val="24"/>
        </w:rPr>
        <w:t>de acceso a la información.</w:t>
      </w:r>
    </w:p>
    <w:p w:rsidR="00EA30C9" w:rsidRPr="00AA372F" w:rsidRDefault="00EA30C9" w:rsidP="00EC7A17">
      <w:pPr>
        <w:spacing w:after="0" w:line="360" w:lineRule="auto"/>
        <w:contextualSpacing/>
        <w:rPr>
          <w:rFonts w:ascii="Palatino Linotype" w:hAnsi="Palatino Linotype" w:cs="Arial"/>
          <w:sz w:val="24"/>
          <w:szCs w:val="24"/>
        </w:rPr>
      </w:pPr>
    </w:p>
    <w:p w:rsidR="00EA30C9"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Apoya a este voto lo señalado por el en ese entonces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7049E1" w:rsidRPr="00AA372F" w:rsidRDefault="007049E1" w:rsidP="007049E1">
      <w:pPr>
        <w:pStyle w:val="Prrafodelista"/>
        <w:spacing w:after="0" w:line="360" w:lineRule="auto"/>
        <w:ind w:left="0"/>
        <w:jc w:val="both"/>
        <w:rPr>
          <w:rFonts w:ascii="Palatino Linotype" w:hAnsi="Palatino Linotype" w:cs="Arial"/>
          <w:sz w:val="24"/>
          <w:szCs w:val="24"/>
        </w:rPr>
      </w:pPr>
    </w:p>
    <w:p w:rsidR="00EA30C9" w:rsidRPr="00AA372F" w:rsidRDefault="00EA30C9" w:rsidP="00EC7A17">
      <w:pPr>
        <w:keepNext/>
        <w:keepLines/>
        <w:spacing w:after="0" w:line="360" w:lineRule="auto"/>
        <w:outlineLvl w:val="0"/>
        <w:rPr>
          <w:rFonts w:ascii="Palatino Linotype" w:eastAsiaTheme="majorEastAsia" w:hAnsi="Palatino Linotype" w:cstheme="majorBidi"/>
          <w:b/>
          <w:sz w:val="24"/>
          <w:szCs w:val="32"/>
        </w:rPr>
      </w:pPr>
      <w:bookmarkStart w:id="17" w:name="_Toc459214624"/>
      <w:bookmarkStart w:id="18" w:name="_Toc476143572"/>
      <w:bookmarkStart w:id="19" w:name="_Toc2684309"/>
      <w:r w:rsidRPr="00AA372F">
        <w:rPr>
          <w:rFonts w:ascii="Palatino Linotype" w:eastAsiaTheme="majorEastAsia" w:hAnsi="Palatino Linotype" w:cstheme="majorBidi"/>
          <w:b/>
          <w:sz w:val="24"/>
          <w:szCs w:val="32"/>
        </w:rPr>
        <w:lastRenderedPageBreak/>
        <w:t>IV. Restricciones legítimas al derecho a la privacidad.</w:t>
      </w:r>
      <w:bookmarkEnd w:id="17"/>
      <w:bookmarkEnd w:id="18"/>
      <w:bookmarkEnd w:id="19"/>
    </w:p>
    <w:p w:rsidR="00EA30C9" w:rsidRPr="00AA372F" w:rsidRDefault="00EA30C9" w:rsidP="00EC7A17">
      <w:pPr>
        <w:spacing w:after="0" w:line="360" w:lineRule="auto"/>
        <w:jc w:val="both"/>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Podría señalarse que este voto 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EA30C9" w:rsidRPr="00AA372F" w:rsidRDefault="00EA30C9" w:rsidP="00EC7A17">
      <w:pPr>
        <w:spacing w:after="0" w:line="360" w:lineRule="auto"/>
        <w:contextualSpacing/>
        <w:jc w:val="both"/>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Para justificar el presente voto, vale la pena acudir a criterios de interpretación constitucional bajo el recurso del intérprete externo, según lo recomienda el Dr. </w:t>
      </w:r>
      <w:proofErr w:type="spellStart"/>
      <w:r w:rsidRPr="00AA372F">
        <w:rPr>
          <w:rFonts w:ascii="Palatino Linotype" w:hAnsi="Palatino Linotype" w:cs="Arial"/>
          <w:sz w:val="24"/>
          <w:szCs w:val="24"/>
        </w:rPr>
        <w:t>Nestor</w:t>
      </w:r>
      <w:proofErr w:type="spellEnd"/>
      <w:r w:rsidRPr="00AA372F">
        <w:rPr>
          <w:rFonts w:ascii="Palatino Linotype" w:hAnsi="Palatino Linotype" w:cs="Arial"/>
          <w:sz w:val="24"/>
          <w:szCs w:val="24"/>
        </w:rPr>
        <w:t xml:space="preserve"> Pedro </w:t>
      </w:r>
      <w:proofErr w:type="spellStart"/>
      <w:r w:rsidRPr="00AA372F">
        <w:rPr>
          <w:rFonts w:ascii="Palatino Linotype" w:hAnsi="Palatino Linotype" w:cs="Arial"/>
          <w:sz w:val="24"/>
          <w:szCs w:val="24"/>
        </w:rPr>
        <w:t>Sagüés</w:t>
      </w:r>
      <w:proofErr w:type="spellEnd"/>
      <w:r w:rsidRPr="00AA372F">
        <w:rPr>
          <w:rFonts w:ascii="Palatino Linotype" w:hAnsi="Palatino Linotype" w:cs="Arial"/>
          <w:sz w:val="24"/>
          <w:szCs w:val="24"/>
        </w:rPr>
        <w:t>.</w:t>
      </w:r>
      <w:r w:rsidRPr="00AA372F">
        <w:rPr>
          <w:rFonts w:ascii="Palatino Linotype" w:hAnsi="Palatino Linotype" w:cs="Arial"/>
          <w:sz w:val="24"/>
          <w:szCs w:val="24"/>
          <w:vertAlign w:val="superscript"/>
        </w:rPr>
        <w:footnoteReference w:id="1"/>
      </w:r>
      <w:r w:rsidRPr="00AA372F">
        <w:rPr>
          <w:rFonts w:ascii="Palatino Linotype" w:hAnsi="Palatino Linotype" w:cs="Arial"/>
          <w:sz w:val="24"/>
          <w:szCs w:val="24"/>
        </w:rPr>
        <w:t xml:space="preserve"> Para ello se acude a la interpretación de las más Altas Cortes, en primer lugar el Tribunal Constitucional Alemán y en segundo término el Tribunal de Estrasburgo.</w:t>
      </w:r>
    </w:p>
    <w:p w:rsidR="00EA30C9" w:rsidRPr="00AA372F" w:rsidRDefault="00EA30C9" w:rsidP="00EC7A17">
      <w:pPr>
        <w:spacing w:after="0" w:line="360" w:lineRule="auto"/>
        <w:contextualSpacing/>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El Tribunal Constitucional Alemán en su sentencia sobre el espionaje acústico masivo, de 3 de marzo de 2004 (</w:t>
      </w:r>
      <w:proofErr w:type="spellStart"/>
      <w:r w:rsidRPr="00AA372F">
        <w:rPr>
          <w:rFonts w:ascii="Palatino Linotype" w:hAnsi="Palatino Linotype" w:cs="Arial"/>
          <w:sz w:val="24"/>
          <w:szCs w:val="24"/>
        </w:rPr>
        <w:t>BVerfGE</w:t>
      </w:r>
      <w:proofErr w:type="spellEnd"/>
      <w:r w:rsidRPr="00AA372F">
        <w:rPr>
          <w:rFonts w:ascii="Palatino Linotype" w:hAnsi="Palatino Linotype" w:cs="Arial"/>
          <w:sz w:val="24"/>
          <w:szCs w:val="24"/>
        </w:rPr>
        <w:t xml:space="preserve"> 190, 279) señala:</w:t>
      </w:r>
    </w:p>
    <w:p w:rsidR="00EA30C9" w:rsidRPr="00AA372F" w:rsidRDefault="00EA30C9" w:rsidP="00EC7A17">
      <w:pPr>
        <w:spacing w:after="0" w:line="360" w:lineRule="auto"/>
        <w:ind w:right="616"/>
        <w:contextualSpacing/>
        <w:jc w:val="both"/>
        <w:rPr>
          <w:rFonts w:ascii="Palatino Linotype" w:hAnsi="Palatino Linotype" w:cs="Arial"/>
          <w:sz w:val="24"/>
          <w:szCs w:val="24"/>
        </w:rPr>
      </w:pPr>
    </w:p>
    <w:p w:rsidR="00EA30C9" w:rsidRPr="00AA372F" w:rsidRDefault="00EA30C9" w:rsidP="007049E1">
      <w:pPr>
        <w:spacing w:after="0" w:line="360" w:lineRule="auto"/>
        <w:ind w:left="567" w:right="616"/>
        <w:contextualSpacing/>
        <w:jc w:val="both"/>
        <w:rPr>
          <w:rFonts w:ascii="Palatino Linotype" w:hAnsi="Palatino Linotype" w:cs="Arial"/>
          <w:i/>
          <w:sz w:val="24"/>
          <w:szCs w:val="24"/>
        </w:rPr>
      </w:pPr>
      <w:r w:rsidRPr="00AA372F">
        <w:rPr>
          <w:rFonts w:ascii="Palatino Linotype" w:hAnsi="Palatino Linotype" w:cs="Arial"/>
          <w:i/>
          <w:sz w:val="24"/>
          <w:szCs w:val="24"/>
        </w:rPr>
        <w:t xml:space="preserve">“a) Para ver si una medida limitadora de derechos fundamentales es proporcionada, resulta decisiva la intensidad de la injerencia. Por ello es de importancia saber cuántas personas se ven afectadas y cuán intensas son las </w:t>
      </w:r>
      <w:r w:rsidRPr="00AA372F">
        <w:rPr>
          <w:rFonts w:ascii="Palatino Linotype" w:hAnsi="Palatino Linotype" w:cs="Arial"/>
          <w:i/>
          <w:sz w:val="24"/>
          <w:szCs w:val="24"/>
        </w:rPr>
        <w:lastRenderedPageBreak/>
        <w:t xml:space="preserve">afecciones, y si estas personas han dado motivos para ello (vid. </w:t>
      </w:r>
      <w:proofErr w:type="spellStart"/>
      <w:r w:rsidRPr="00AA372F">
        <w:rPr>
          <w:rFonts w:ascii="Palatino Linotype" w:hAnsi="Palatino Linotype" w:cs="Arial"/>
          <w:i/>
          <w:sz w:val="24"/>
          <w:szCs w:val="24"/>
        </w:rPr>
        <w:t>BVerfGE</w:t>
      </w:r>
      <w:proofErr w:type="spellEnd"/>
      <w:r w:rsidRPr="00AA372F">
        <w:rPr>
          <w:rFonts w:ascii="Palatino Linotype" w:hAnsi="Palatino Linotype" w:cs="Arial"/>
          <w:i/>
          <w:sz w:val="24"/>
          <w:szCs w:val="24"/>
        </w:rPr>
        <w:t xml:space="preserv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w:t>
      </w:r>
      <w:proofErr w:type="spellStart"/>
      <w:r w:rsidRPr="00AA372F">
        <w:rPr>
          <w:rFonts w:ascii="Palatino Linotype" w:hAnsi="Palatino Linotype" w:cs="Arial"/>
          <w:i/>
          <w:sz w:val="24"/>
          <w:szCs w:val="24"/>
        </w:rPr>
        <w:t>BVerfGE</w:t>
      </w:r>
      <w:proofErr w:type="spellEnd"/>
      <w:r w:rsidRPr="00AA372F">
        <w:rPr>
          <w:rFonts w:ascii="Palatino Linotype" w:hAnsi="Palatino Linotype" w:cs="Arial"/>
          <w:i/>
          <w:sz w:val="24"/>
          <w:szCs w:val="24"/>
        </w:rPr>
        <w:t xml:space="preserv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AA372F">
        <w:rPr>
          <w:rFonts w:ascii="Palatino Linotype" w:hAnsi="Palatino Linotype" w:cs="Arial"/>
          <w:i/>
          <w:sz w:val="24"/>
          <w:szCs w:val="24"/>
          <w:vertAlign w:val="superscript"/>
        </w:rPr>
        <w:footnoteReference w:id="2"/>
      </w:r>
    </w:p>
    <w:p w:rsidR="00EA30C9" w:rsidRPr="00AA372F" w:rsidRDefault="00EA30C9" w:rsidP="007049E1">
      <w:pPr>
        <w:spacing w:after="0" w:line="360" w:lineRule="auto"/>
        <w:ind w:left="567"/>
        <w:jc w:val="both"/>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EA30C9" w:rsidRPr="00AA372F" w:rsidRDefault="00EA30C9" w:rsidP="00EC7A17">
      <w:pPr>
        <w:spacing w:after="0" w:line="360" w:lineRule="auto"/>
        <w:ind w:right="616"/>
        <w:jc w:val="both"/>
        <w:rPr>
          <w:rFonts w:ascii="Palatino Linotype" w:hAnsi="Palatino Linotype" w:cs="Arial"/>
          <w:sz w:val="24"/>
          <w:szCs w:val="24"/>
        </w:rPr>
      </w:pPr>
    </w:p>
    <w:p w:rsidR="00EA30C9" w:rsidRPr="00AA372F" w:rsidRDefault="007049E1" w:rsidP="007049E1">
      <w:pPr>
        <w:tabs>
          <w:tab w:val="left" w:pos="567"/>
        </w:tabs>
        <w:spacing w:after="0" w:line="360" w:lineRule="auto"/>
        <w:ind w:left="567" w:right="616"/>
        <w:jc w:val="both"/>
        <w:rPr>
          <w:rFonts w:ascii="Palatino Linotype" w:hAnsi="Palatino Linotype" w:cs="Arial"/>
          <w:i/>
          <w:sz w:val="24"/>
          <w:szCs w:val="24"/>
        </w:rPr>
      </w:pPr>
      <w:r>
        <w:rPr>
          <w:rFonts w:ascii="Palatino Linotype" w:hAnsi="Palatino Linotype" w:cs="Arial"/>
          <w:i/>
          <w:sz w:val="24"/>
          <w:szCs w:val="24"/>
        </w:rPr>
        <w:t>“</w:t>
      </w:r>
      <w:r w:rsidR="00EA30C9" w:rsidRPr="00AA372F">
        <w:rPr>
          <w:rFonts w:ascii="Palatino Linotype" w:hAnsi="Palatino Linotype" w:cs="Arial"/>
          <w:i/>
          <w:sz w:val="24"/>
          <w:szCs w:val="24"/>
        </w:rPr>
        <w:t xml:space="preserve">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w:t>
      </w:r>
      <w:r w:rsidR="00EA30C9" w:rsidRPr="00AA372F">
        <w:rPr>
          <w:rFonts w:ascii="Palatino Linotype" w:hAnsi="Palatino Linotype" w:cs="Arial"/>
          <w:i/>
          <w:sz w:val="24"/>
          <w:szCs w:val="24"/>
        </w:rPr>
        <w:lastRenderedPageBreak/>
        <w:t xml:space="preserve">Sentencia </w:t>
      </w:r>
      <w:proofErr w:type="spellStart"/>
      <w:r w:rsidR="00EA30C9" w:rsidRPr="00AA372F">
        <w:rPr>
          <w:rFonts w:ascii="Palatino Linotype" w:hAnsi="Palatino Linotype" w:cs="Arial"/>
          <w:i/>
          <w:sz w:val="24"/>
          <w:szCs w:val="24"/>
        </w:rPr>
        <w:t>Friedl</w:t>
      </w:r>
      <w:proofErr w:type="spellEnd"/>
      <w:r w:rsidR="00EA30C9" w:rsidRPr="00AA372F">
        <w:rPr>
          <w:rFonts w:ascii="Palatino Linotype" w:hAnsi="Palatino Linotype" w:cs="Arial"/>
          <w:i/>
          <w:sz w:val="24"/>
          <w:szCs w:val="24"/>
        </w:rPr>
        <w:t xml:space="preserve"> contra Austria de 31 de enero de 1995, serie A núm. 305-B, acuerdo amistoso, Dictamen de la Comisión, pg. 21, </w:t>
      </w:r>
      <w:proofErr w:type="spellStart"/>
      <w:r w:rsidR="00EA30C9" w:rsidRPr="00AA372F">
        <w:rPr>
          <w:rFonts w:ascii="Palatino Linotype" w:hAnsi="Palatino Linotype" w:cs="Arial"/>
          <w:i/>
          <w:sz w:val="24"/>
          <w:szCs w:val="24"/>
        </w:rPr>
        <w:t>aps</w:t>
      </w:r>
      <w:proofErr w:type="spellEnd"/>
      <w:r w:rsidR="00EA30C9" w:rsidRPr="00AA372F">
        <w:rPr>
          <w:rFonts w:ascii="Palatino Linotype" w:hAnsi="Palatino Linotype" w:cs="Arial"/>
          <w:i/>
          <w:sz w:val="24"/>
          <w:szCs w:val="24"/>
        </w:rPr>
        <w:t xml:space="preserve">. 49-52, PG y JH anteriormente citada, ap. 58 y </w:t>
      </w:r>
      <w:proofErr w:type="spellStart"/>
      <w:r w:rsidR="00EA30C9" w:rsidRPr="00AA372F">
        <w:rPr>
          <w:rFonts w:ascii="Palatino Linotype" w:hAnsi="Palatino Linotype" w:cs="Arial"/>
          <w:i/>
          <w:sz w:val="24"/>
          <w:szCs w:val="24"/>
        </w:rPr>
        <w:t>Peck</w:t>
      </w:r>
      <w:proofErr w:type="spellEnd"/>
      <w:r w:rsidR="00EA30C9" w:rsidRPr="00AA372F">
        <w:rPr>
          <w:rFonts w:ascii="Palatino Linotype" w:hAnsi="Palatino Linotype" w:cs="Arial"/>
          <w:i/>
          <w:sz w:val="24"/>
          <w:szCs w:val="24"/>
        </w:rPr>
        <w:t>, previamente citada, ap. 61)”.</w:t>
      </w:r>
      <w:r w:rsidR="00EA30C9" w:rsidRPr="00AA372F">
        <w:rPr>
          <w:rFonts w:ascii="Palatino Linotype" w:hAnsi="Palatino Linotype" w:cs="Arial"/>
          <w:i/>
          <w:sz w:val="24"/>
          <w:szCs w:val="24"/>
          <w:vertAlign w:val="superscript"/>
        </w:rPr>
        <w:footnoteReference w:id="3"/>
      </w:r>
    </w:p>
    <w:p w:rsidR="00EA30C9" w:rsidRPr="00AA372F" w:rsidRDefault="00EA30C9" w:rsidP="00EC7A17">
      <w:pPr>
        <w:spacing w:after="0" w:line="360" w:lineRule="auto"/>
        <w:jc w:val="both"/>
        <w:rPr>
          <w:rFonts w:ascii="Palatino Linotype" w:hAnsi="Palatino Linotype" w:cs="Arial"/>
          <w:sz w:val="24"/>
          <w:szCs w:val="24"/>
        </w:rPr>
      </w:pPr>
    </w:p>
    <w:p w:rsidR="00EA30C9" w:rsidRPr="00AA372F"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AA372F">
        <w:rPr>
          <w:rFonts w:ascii="Palatino Linotype" w:hAnsi="Palatino Linotype" w:cs="Arial"/>
          <w:sz w:val="24"/>
          <w:szCs w:val="24"/>
        </w:rPr>
        <w:t xml:space="preserve">En el presente recurso, puede señalarse que la expedición de título profesional, tienen como finalidad el acreditar que una persona determinada cuenta con grado académico respectivo o experiencia profesional, lo que resulta indispensable para efectos de su práctica laboral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la experiencia o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expresamente señalados por la ley. </w:t>
      </w:r>
    </w:p>
    <w:p w:rsidR="00EA30C9" w:rsidRPr="00AA372F" w:rsidRDefault="00EA30C9" w:rsidP="00EC7A17">
      <w:pPr>
        <w:spacing w:after="0" w:line="360" w:lineRule="auto"/>
        <w:contextualSpacing/>
        <w:jc w:val="both"/>
        <w:rPr>
          <w:rFonts w:ascii="Palatino Linotype" w:hAnsi="Palatino Linotype" w:cs="Arial"/>
          <w:sz w:val="24"/>
          <w:szCs w:val="24"/>
        </w:rPr>
      </w:pPr>
    </w:p>
    <w:p w:rsidR="00EA30C9" w:rsidRPr="008C5807" w:rsidRDefault="00EA30C9" w:rsidP="00EC7A17">
      <w:pPr>
        <w:pStyle w:val="Prrafodelista"/>
        <w:numPr>
          <w:ilvl w:val="0"/>
          <w:numId w:val="1"/>
        </w:numPr>
        <w:spacing w:after="0" w:line="360" w:lineRule="auto"/>
        <w:ind w:left="0" w:firstLine="0"/>
        <w:jc w:val="both"/>
        <w:rPr>
          <w:rFonts w:ascii="Palatino Linotype" w:hAnsi="Palatino Linotype" w:cs="Arial"/>
          <w:sz w:val="24"/>
          <w:szCs w:val="24"/>
        </w:rPr>
      </w:pPr>
      <w:r w:rsidRPr="008C5807">
        <w:rPr>
          <w:rFonts w:ascii="Palatino Linotype" w:hAnsi="Palatino Linotype" w:cs="Arial"/>
          <w:sz w:val="24"/>
          <w:szCs w:val="24"/>
        </w:rPr>
        <w:lastRenderedPageBreak/>
        <w:t xml:space="preserve">Es en atención a las consideraciones antes señaladas que un certificado, el título profesional, la cédula profesional o bien un documento análogo se integran por un conjunto de elementos cuya concurrencia simultánea permiten identificar clara e indubitablemente que una persona determinada cuenta con título para desempeñar una profesión. Para que </w:t>
      </w:r>
      <w:r w:rsidR="007049E1">
        <w:rPr>
          <w:rFonts w:ascii="Palatino Linotype" w:hAnsi="Palatino Linotype"/>
          <w:b/>
          <w:sz w:val="24"/>
          <w:szCs w:val="24"/>
        </w:rPr>
        <w:t>el particular</w:t>
      </w:r>
      <w:r w:rsidR="008C5807" w:rsidRPr="008C5807">
        <w:rPr>
          <w:rFonts w:ascii="Palatino Linotype" w:hAnsi="Palatino Linotype" w:cs="Arial"/>
          <w:sz w:val="24"/>
          <w:szCs w:val="24"/>
        </w:rPr>
        <w:t xml:space="preserve"> </w:t>
      </w:r>
      <w:r w:rsidRPr="008C5807">
        <w:rPr>
          <w:rFonts w:ascii="Palatino Linotype" w:hAnsi="Palatino Linotype" w:cs="Arial"/>
          <w:sz w:val="24"/>
          <w:szCs w:val="24"/>
        </w:rPr>
        <w:t>pueda acceder en plenitud a su derecho de acceso a la información pública, debería de entregársele el documento integro, es decir, sin que se teste ninguno de sus elementos,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EA30C9" w:rsidRDefault="00EA30C9" w:rsidP="00EC7A17">
      <w:pPr>
        <w:spacing w:after="0" w:line="360" w:lineRule="auto"/>
        <w:rPr>
          <w:rFonts w:ascii="Palatino Linotype" w:hAnsi="Palatino Linotype"/>
          <w:sz w:val="24"/>
          <w:szCs w:val="24"/>
        </w:rPr>
      </w:pPr>
    </w:p>
    <w:p w:rsidR="009563C5" w:rsidRDefault="009563C5" w:rsidP="00EC7A17">
      <w:pPr>
        <w:spacing w:after="0" w:line="360" w:lineRule="auto"/>
        <w:rPr>
          <w:rFonts w:ascii="Palatino Linotype" w:hAnsi="Palatino Linotype"/>
          <w:sz w:val="24"/>
          <w:szCs w:val="24"/>
        </w:rPr>
      </w:pPr>
    </w:p>
    <w:p w:rsidR="009563C5" w:rsidRPr="00072966" w:rsidRDefault="009563C5" w:rsidP="00EC7A17">
      <w:pPr>
        <w:spacing w:after="0" w:line="360" w:lineRule="auto"/>
        <w:rPr>
          <w:rFonts w:ascii="Palatino Linotype" w:hAnsi="Palatino Linotype"/>
          <w:sz w:val="24"/>
          <w:szCs w:val="24"/>
        </w:rPr>
      </w:pPr>
    </w:p>
    <w:p w:rsidR="0046491C" w:rsidRPr="00072966" w:rsidRDefault="0046491C" w:rsidP="00EC7A17">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Pr="00072966" w:rsidRDefault="0046491C" w:rsidP="00EC7A17">
      <w:pPr>
        <w:spacing w:after="0" w:line="360" w:lineRule="auto"/>
        <w:jc w:val="center"/>
        <w:rPr>
          <w:rFonts w:ascii="Palatino Linotype" w:hAnsi="Palatino Linotype"/>
        </w:rPr>
      </w:pPr>
      <w:r w:rsidRPr="00072966">
        <w:rPr>
          <w:rFonts w:ascii="Palatino Linotype" w:hAnsi="Palatino Linotype"/>
          <w:b/>
          <w:sz w:val="24"/>
          <w:szCs w:val="24"/>
        </w:rPr>
        <w:t>COMISIONADO</w:t>
      </w:r>
    </w:p>
    <w:p w:rsidR="00D33AF9" w:rsidRPr="00072966" w:rsidRDefault="00D33AF9" w:rsidP="00EC7A17">
      <w:pPr>
        <w:spacing w:after="0" w:line="360" w:lineRule="auto"/>
        <w:jc w:val="center"/>
        <w:rPr>
          <w:rFonts w:ascii="Palatino Linotype" w:hAnsi="Palatino Linotype"/>
          <w:b/>
          <w:sz w:val="24"/>
          <w:szCs w:val="24"/>
        </w:rPr>
      </w:pPr>
      <w:r w:rsidRPr="00072966">
        <w:rPr>
          <w:rFonts w:ascii="Palatino Linotype" w:hAnsi="Palatino Linotype"/>
          <w:b/>
          <w:sz w:val="24"/>
          <w:szCs w:val="24"/>
        </w:rPr>
        <w:t>(Rúbrica)</w:t>
      </w:r>
    </w:p>
    <w:p w:rsidR="00575478" w:rsidRPr="00A07EF4" w:rsidRDefault="00575478" w:rsidP="00EC7A17">
      <w:pPr>
        <w:spacing w:after="0" w:line="360" w:lineRule="auto"/>
        <w:rPr>
          <w:rFonts w:ascii="Palatino Linotype" w:hAnsi="Palatino Linotype"/>
          <w:b/>
          <w:sz w:val="20"/>
          <w:szCs w:val="24"/>
        </w:rPr>
      </w:pPr>
      <w:r w:rsidRPr="00A07EF4">
        <w:rPr>
          <w:rFonts w:ascii="Palatino Linotype" w:hAnsi="Palatino Linotype"/>
          <w:b/>
          <w:sz w:val="20"/>
          <w:szCs w:val="24"/>
        </w:rPr>
        <w:t>JGLH/</w:t>
      </w:r>
      <w:r w:rsidR="00FA5DE2">
        <w:rPr>
          <w:rFonts w:ascii="Palatino Linotype" w:hAnsi="Palatino Linotype"/>
          <w:b/>
          <w:sz w:val="20"/>
          <w:szCs w:val="24"/>
        </w:rPr>
        <w:t>JTC</w:t>
      </w:r>
      <w:bookmarkStart w:id="20" w:name="_GoBack"/>
      <w:bookmarkEnd w:id="20"/>
    </w:p>
    <w:sectPr w:rsidR="00575478" w:rsidRPr="00A07EF4"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201" w:rsidRDefault="00944201" w:rsidP="00E706DA">
      <w:pPr>
        <w:spacing w:after="0" w:line="240" w:lineRule="auto"/>
      </w:pPr>
      <w:r>
        <w:separator/>
      </w:r>
    </w:p>
  </w:endnote>
  <w:endnote w:type="continuationSeparator" w:id="0">
    <w:p w:rsidR="00944201" w:rsidRDefault="00944201"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857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857F5">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857F5">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5857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857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201" w:rsidRDefault="00944201" w:rsidP="00E706DA">
      <w:pPr>
        <w:spacing w:after="0" w:line="240" w:lineRule="auto"/>
      </w:pPr>
      <w:r>
        <w:separator/>
      </w:r>
    </w:p>
  </w:footnote>
  <w:footnote w:type="continuationSeparator" w:id="0">
    <w:p w:rsidR="00944201" w:rsidRDefault="00944201" w:rsidP="00E706DA">
      <w:pPr>
        <w:spacing w:after="0" w:line="240" w:lineRule="auto"/>
      </w:pPr>
      <w:r>
        <w:continuationSeparator/>
      </w:r>
    </w:p>
  </w:footnote>
  <w:footnote w:id="1">
    <w:p w:rsidR="00EA30C9" w:rsidRPr="00D84239" w:rsidRDefault="00EA30C9" w:rsidP="00EA30C9">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w:t>
      </w:r>
      <w:proofErr w:type="spellStart"/>
      <w:r w:rsidRPr="00D84239">
        <w:rPr>
          <w:rFonts w:ascii="Arial" w:hAnsi="Arial" w:cs="Arial"/>
        </w:rPr>
        <w:t>Coed</w:t>
      </w:r>
      <w:proofErr w:type="spellEnd"/>
      <w:r w:rsidRPr="00D84239">
        <w:rPr>
          <w:rFonts w:ascii="Arial" w:hAnsi="Arial" w:cs="Arial"/>
        </w:rPr>
        <w:t>. Porrúa e Instituto Mexicano de Derecho Procesal Constitucional. 2013. Págs. 263 y 264.</w:t>
      </w:r>
    </w:p>
  </w:footnote>
  <w:footnote w:id="2">
    <w:p w:rsidR="00EA30C9" w:rsidRPr="00D84239" w:rsidRDefault="00EA30C9" w:rsidP="00EA30C9">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w:t>
      </w:r>
      <w:proofErr w:type="spellStart"/>
      <w:r w:rsidRPr="00D84239">
        <w:rPr>
          <w:rFonts w:ascii="Arial" w:hAnsi="Arial" w:cs="Arial"/>
        </w:rPr>
        <w:t>ÁLVAREZ</w:t>
      </w:r>
      <w:proofErr w:type="spellEnd"/>
      <w:r w:rsidRPr="00D84239">
        <w:rPr>
          <w:rFonts w:ascii="Arial" w:hAnsi="Arial" w:cs="Arial"/>
        </w:rPr>
        <w:t xml:space="preserve">,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xml:space="preserve">. Madrid. </w:t>
      </w:r>
      <w:proofErr w:type="spellStart"/>
      <w:r w:rsidRPr="00D84239">
        <w:rPr>
          <w:rFonts w:ascii="Arial" w:hAnsi="Arial" w:cs="Arial"/>
        </w:rPr>
        <w:t>Coed</w:t>
      </w:r>
      <w:proofErr w:type="spellEnd"/>
      <w:r w:rsidRPr="00D84239">
        <w:rPr>
          <w:rFonts w:ascii="Arial" w:hAnsi="Arial" w:cs="Arial"/>
        </w:rPr>
        <w:t>. Centro de Estudios Políticos y Constitucionales y Boletín Oficial Español. 2008. Págs. 179 y 180.</w:t>
      </w:r>
    </w:p>
  </w:footnote>
  <w:footnote w:id="3">
    <w:p w:rsidR="00EA30C9" w:rsidRPr="00D84239" w:rsidRDefault="00EA30C9" w:rsidP="00EA30C9">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xml:space="preserve">. Navarra. </w:t>
      </w:r>
      <w:proofErr w:type="spellStart"/>
      <w:r w:rsidRPr="00D84239">
        <w:rPr>
          <w:rFonts w:ascii="Arial" w:hAnsi="Arial" w:cs="Arial"/>
        </w:rPr>
        <w:t>Coed</w:t>
      </w:r>
      <w:proofErr w:type="spellEnd"/>
      <w:r w:rsidRPr="00D84239">
        <w:rPr>
          <w:rFonts w:ascii="Arial" w:hAnsi="Arial" w:cs="Arial"/>
        </w:rPr>
        <w:t xml:space="preserve">. Thomson y </w:t>
      </w:r>
      <w:proofErr w:type="spellStart"/>
      <w:r w:rsidRPr="00D84239">
        <w:rPr>
          <w:rFonts w:ascii="Arial" w:hAnsi="Arial" w:cs="Arial"/>
        </w:rPr>
        <w:t>Civitas</w:t>
      </w:r>
      <w:proofErr w:type="spellEnd"/>
      <w:r w:rsidRPr="00D84239">
        <w:rPr>
          <w:rFonts w:ascii="Arial" w:hAnsi="Arial" w:cs="Arial"/>
        </w:rPr>
        <w:t>,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857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857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5857F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857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25E511F"/>
    <w:multiLevelType w:val="hybridMultilevel"/>
    <w:tmpl w:val="AE4E5B52"/>
    <w:lvl w:ilvl="0" w:tplc="080A0011">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6C11846"/>
    <w:multiLevelType w:val="hybridMultilevel"/>
    <w:tmpl w:val="AE4E5B52"/>
    <w:lvl w:ilvl="0" w:tplc="080A0011">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7A3673"/>
    <w:multiLevelType w:val="hybridMultilevel"/>
    <w:tmpl w:val="E026C4C0"/>
    <w:lvl w:ilvl="0" w:tplc="AE5EE80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9"/>
  </w:num>
  <w:num w:numId="4">
    <w:abstractNumId w:val="11"/>
  </w:num>
  <w:num w:numId="5">
    <w:abstractNumId w:val="13"/>
  </w:num>
  <w:num w:numId="6">
    <w:abstractNumId w:val="15"/>
  </w:num>
  <w:num w:numId="7">
    <w:abstractNumId w:val="20"/>
  </w:num>
  <w:num w:numId="8">
    <w:abstractNumId w:val="19"/>
  </w:num>
  <w:num w:numId="9">
    <w:abstractNumId w:val="23"/>
  </w:num>
  <w:num w:numId="10">
    <w:abstractNumId w:val="2"/>
  </w:num>
  <w:num w:numId="11">
    <w:abstractNumId w:val="22"/>
  </w:num>
  <w:num w:numId="12">
    <w:abstractNumId w:val="10"/>
  </w:num>
  <w:num w:numId="13">
    <w:abstractNumId w:val="5"/>
  </w:num>
  <w:num w:numId="14">
    <w:abstractNumId w:val="8"/>
  </w:num>
  <w:num w:numId="15">
    <w:abstractNumId w:val="16"/>
  </w:num>
  <w:num w:numId="16">
    <w:abstractNumId w:val="0"/>
  </w:num>
  <w:num w:numId="17">
    <w:abstractNumId w:val="4"/>
  </w:num>
  <w:num w:numId="18">
    <w:abstractNumId w:val="24"/>
  </w:num>
  <w:num w:numId="19">
    <w:abstractNumId w:val="7"/>
  </w:num>
  <w:num w:numId="20">
    <w:abstractNumId w:val="18"/>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72966"/>
    <w:rsid w:val="00073F0D"/>
    <w:rsid w:val="000951B4"/>
    <w:rsid w:val="000A3369"/>
    <w:rsid w:val="000A77B5"/>
    <w:rsid w:val="000A7B66"/>
    <w:rsid w:val="000B7C6E"/>
    <w:rsid w:val="000F6CBB"/>
    <w:rsid w:val="00117F40"/>
    <w:rsid w:val="00122625"/>
    <w:rsid w:val="00143343"/>
    <w:rsid w:val="00182E83"/>
    <w:rsid w:val="001862D4"/>
    <w:rsid w:val="001923C0"/>
    <w:rsid w:val="00194B6A"/>
    <w:rsid w:val="001A2D39"/>
    <w:rsid w:val="001D3F34"/>
    <w:rsid w:val="001E7C48"/>
    <w:rsid w:val="0020315F"/>
    <w:rsid w:val="002036ED"/>
    <w:rsid w:val="00225026"/>
    <w:rsid w:val="00226409"/>
    <w:rsid w:val="002372DA"/>
    <w:rsid w:val="00260D6C"/>
    <w:rsid w:val="002620E9"/>
    <w:rsid w:val="00281310"/>
    <w:rsid w:val="002B6D08"/>
    <w:rsid w:val="002C1F75"/>
    <w:rsid w:val="002F7E66"/>
    <w:rsid w:val="003348D6"/>
    <w:rsid w:val="00346DBD"/>
    <w:rsid w:val="00357946"/>
    <w:rsid w:val="00367E00"/>
    <w:rsid w:val="003705BB"/>
    <w:rsid w:val="003747A5"/>
    <w:rsid w:val="003C7100"/>
    <w:rsid w:val="003C7244"/>
    <w:rsid w:val="003D7B9E"/>
    <w:rsid w:val="00412952"/>
    <w:rsid w:val="0042345D"/>
    <w:rsid w:val="00424DE3"/>
    <w:rsid w:val="00444048"/>
    <w:rsid w:val="0046491C"/>
    <w:rsid w:val="0048490F"/>
    <w:rsid w:val="0049504F"/>
    <w:rsid w:val="00532410"/>
    <w:rsid w:val="00546812"/>
    <w:rsid w:val="00575478"/>
    <w:rsid w:val="005857F5"/>
    <w:rsid w:val="005A0E1C"/>
    <w:rsid w:val="005A15E9"/>
    <w:rsid w:val="005A3267"/>
    <w:rsid w:val="005D7F06"/>
    <w:rsid w:val="006239A7"/>
    <w:rsid w:val="00634736"/>
    <w:rsid w:val="006728FD"/>
    <w:rsid w:val="0069498B"/>
    <w:rsid w:val="006D268B"/>
    <w:rsid w:val="007049E1"/>
    <w:rsid w:val="00717C0D"/>
    <w:rsid w:val="0072136B"/>
    <w:rsid w:val="00746812"/>
    <w:rsid w:val="0076241F"/>
    <w:rsid w:val="00770016"/>
    <w:rsid w:val="00790E37"/>
    <w:rsid w:val="007A7E94"/>
    <w:rsid w:val="007A7FAD"/>
    <w:rsid w:val="007D7854"/>
    <w:rsid w:val="00814E97"/>
    <w:rsid w:val="008361CA"/>
    <w:rsid w:val="008370F1"/>
    <w:rsid w:val="00850252"/>
    <w:rsid w:val="00856FA1"/>
    <w:rsid w:val="008822B3"/>
    <w:rsid w:val="008834DB"/>
    <w:rsid w:val="008911CF"/>
    <w:rsid w:val="008B03B6"/>
    <w:rsid w:val="008C5807"/>
    <w:rsid w:val="008D3BCF"/>
    <w:rsid w:val="008E1DCC"/>
    <w:rsid w:val="008F3E81"/>
    <w:rsid w:val="00900E75"/>
    <w:rsid w:val="00902248"/>
    <w:rsid w:val="009156AC"/>
    <w:rsid w:val="00937D7D"/>
    <w:rsid w:val="0094239C"/>
    <w:rsid w:val="00944201"/>
    <w:rsid w:val="0095525C"/>
    <w:rsid w:val="009563C5"/>
    <w:rsid w:val="009818AA"/>
    <w:rsid w:val="009C4EF6"/>
    <w:rsid w:val="009E5C5E"/>
    <w:rsid w:val="00A07EF4"/>
    <w:rsid w:val="00A26E97"/>
    <w:rsid w:val="00A54D9D"/>
    <w:rsid w:val="00A615DA"/>
    <w:rsid w:val="00A626F8"/>
    <w:rsid w:val="00A63717"/>
    <w:rsid w:val="00A702B1"/>
    <w:rsid w:val="00AA49F3"/>
    <w:rsid w:val="00AB023D"/>
    <w:rsid w:val="00AB126B"/>
    <w:rsid w:val="00AC381E"/>
    <w:rsid w:val="00AE4797"/>
    <w:rsid w:val="00B07D70"/>
    <w:rsid w:val="00B120CA"/>
    <w:rsid w:val="00B7494A"/>
    <w:rsid w:val="00BC7B0C"/>
    <w:rsid w:val="00BE26B6"/>
    <w:rsid w:val="00BE555F"/>
    <w:rsid w:val="00BF3534"/>
    <w:rsid w:val="00C04D6A"/>
    <w:rsid w:val="00C175EA"/>
    <w:rsid w:val="00C643A8"/>
    <w:rsid w:val="00C7250F"/>
    <w:rsid w:val="00CA5E54"/>
    <w:rsid w:val="00CC4A96"/>
    <w:rsid w:val="00CE0823"/>
    <w:rsid w:val="00D33AF9"/>
    <w:rsid w:val="00D363F7"/>
    <w:rsid w:val="00D447F1"/>
    <w:rsid w:val="00D47536"/>
    <w:rsid w:val="00D72985"/>
    <w:rsid w:val="00D7508B"/>
    <w:rsid w:val="00DD7C56"/>
    <w:rsid w:val="00DE24C8"/>
    <w:rsid w:val="00DF6665"/>
    <w:rsid w:val="00DF6F7E"/>
    <w:rsid w:val="00E34F08"/>
    <w:rsid w:val="00E61AB8"/>
    <w:rsid w:val="00E706DA"/>
    <w:rsid w:val="00E83E93"/>
    <w:rsid w:val="00E868E4"/>
    <w:rsid w:val="00E90EB5"/>
    <w:rsid w:val="00E94FBF"/>
    <w:rsid w:val="00EA151D"/>
    <w:rsid w:val="00EA30C9"/>
    <w:rsid w:val="00EC7A17"/>
    <w:rsid w:val="00EF0C2D"/>
    <w:rsid w:val="00EF6D60"/>
    <w:rsid w:val="00F444A1"/>
    <w:rsid w:val="00F45161"/>
    <w:rsid w:val="00F46E78"/>
    <w:rsid w:val="00F5642A"/>
    <w:rsid w:val="00F61E76"/>
    <w:rsid w:val="00F841A1"/>
    <w:rsid w:val="00F857BC"/>
    <w:rsid w:val="00F86F9B"/>
    <w:rsid w:val="00FA5DE2"/>
    <w:rsid w:val="00FC2309"/>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A30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EA30C9"/>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7A7E9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3615-FCA9-4BCC-99E7-1B1E4272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3104</Words>
  <Characters>17078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2019-03-05T19:21:00Z</cp:lastPrinted>
  <dcterms:created xsi:type="dcterms:W3CDTF">2019-03-21T21:26:00Z</dcterms:created>
  <dcterms:modified xsi:type="dcterms:W3CDTF">2019-03-29T18:32:00Z</dcterms:modified>
</cp:coreProperties>
</file>